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100C1D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0C1D" w:rsidRDefault="005600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100C1D" w:rsidRDefault="005600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100C1D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</w:tr>
      <w:tr w:rsidR="00100C1D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100C1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100C1D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июля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01.07.2024</w:t>
            </w:r>
          </w:p>
        </w:tc>
      </w:tr>
      <w:tr w:rsidR="00100C1D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</w:tr>
      <w:tr w:rsidR="00100C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</w:tr>
      <w:tr w:rsidR="00100C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</w:tr>
      <w:tr w:rsidR="00100C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</w:tr>
      <w:tr w:rsidR="00100C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0"/>
              </w:rPr>
            </w:pPr>
          </w:p>
        </w:tc>
      </w:tr>
      <w:tr w:rsidR="00100C1D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23.1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Шатровский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100C1D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</w:tr>
      <w:tr w:rsidR="00100C1D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100C1D" w:rsidRDefault="00560092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100C1D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</w:tr>
      <w:tr w:rsidR="00100C1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100C1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</w:tr>
      <w:tr w:rsidR="00100C1D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</w:tr>
    </w:tbl>
    <w:p w:rsidR="00100C1D" w:rsidRDefault="00560092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Финансовый отдел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(далее Финансовый отдел) является отраслевым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Финансовый отдел возглавляет заместитель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100C1D" w:rsidRDefault="00560092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 В отдел учета и отчетности Финансового отдела принят штат бухгалтеров, выполняющих ведение бюджетного (бухгалтерского) учета по исполнению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100C1D" w:rsidRDefault="00560092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100C1D" w:rsidRDefault="00560092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 по состоянию на 1 июля 2024 года по доходам исполнен в сумме 360379,3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51,03 % к годовым бюджетным назначениям. Объем собственных доходов в бюджетных ресурсах составил 66748,0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 или 48,8 %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к годовым назначениям. </w:t>
      </w:r>
    </w:p>
    <w:p w:rsidR="00100C1D" w:rsidRDefault="00560092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на 1 июля 2024 года  по расходам исполнен в сумме 293714,0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48 % к годовым бюджетным назначениям. Неравномерное финансирование в разрезе функциональной бюджетной 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лассификации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выплату заработной платы, уплату единого социального налога, оплату коммунальных усл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уг, социальные выплаты населению -293714,0 тыс.руб. (85% расходов бюджета). </w:t>
      </w:r>
    </w:p>
    <w:p w:rsidR="00100C1D" w:rsidRDefault="00560092">
      <w:pPr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100C1D" w:rsidRDefault="00560092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04"/>
        <w:gridCol w:w="56"/>
        <w:gridCol w:w="56"/>
        <w:gridCol w:w="13104"/>
      </w:tblGrid>
      <w:tr w:rsidR="00100C1D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Ф.050117-НП</w:t>
            </w:r>
          </w:p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Расхождения плановых показателей на сумму 1411450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 предыдущим месяцем ф.0503117 по КБК 000 0503 360F255550 244: в мае месяце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 верно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ука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зано КБК в ф.0503117-НП (0503 360F355550 244).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u w:val="single"/>
              </w:rPr>
              <w:t>асхождения ф.0503117 и ф.0503151</w:t>
            </w:r>
            <w:r>
              <w:rPr>
                <w:rFonts w:ascii="Calibri" w:eastAsia="Calibri" w:hAnsi="Calibri" w:cs="Calibri"/>
                <w:color w:val="000000"/>
                <w:u w:val="single"/>
              </w:rPr>
              <w:t> </w:t>
            </w:r>
          </w:p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Доходы по бюджету округа на 01.07.2024г по отчету Федерального казначейства ф.151 составили 358590329.19, по отчету ф.117 - 360379329.19, расхождения составили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1789000 ру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т.ч по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КБК: 202 15001 14 0000 150 = 292000.,                202 49999 14 0000 150 = 1497000 (Департамент финансов),средства в пути.</w:t>
            </w:r>
          </w:p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Изменения остатков валюты баланса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коду причины03:</w:t>
            </w:r>
          </w:p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250 по сч.205.29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несвоевременное поступление первичных документов (договоров) в отдел учета и отчетности на сумму 23500,80 руб. </w:t>
            </w:r>
          </w:p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 сч.205.45 -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отчету УМВД.</w:t>
            </w:r>
          </w:p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ф.0503296.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  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Поступило ДО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по решению суда за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2024г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= 4309776.11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.ч</w:t>
            </w:r>
            <w:proofErr w:type="gramEnd"/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- 150000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руб., - административный штраф;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- 50000 руб., -   исполнительский сбор;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- 4109776,11 руб., - предъявлено по решениям суда, кредиторская задолженность, неустойки, пени, судебные издержки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Шатровского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муниципального округа за ликвидируемое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МУП (казенное)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Теплогарант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", как учредителю и субсидиарному ответчику.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ф.050169 БД 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Ошибки по ф.0503169_БД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внутридокументные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КС</w:t>
            </w:r>
          </w:p>
          <w:p w:rsidR="00100C1D" w:rsidRDefault="00560092"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70"/>
              <w:gridCol w:w="1406"/>
              <w:gridCol w:w="1276"/>
              <w:gridCol w:w="5387"/>
            </w:tblGrid>
            <w:tr w:rsidR="00100C1D">
              <w:tc>
                <w:tcPr>
                  <w:tcW w:w="9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Вид расхода</w:t>
                  </w:r>
                </w:p>
              </w:tc>
              <w:tc>
                <w:tcPr>
                  <w:tcW w:w="1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Номер счета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Суммы</w:t>
                  </w:r>
                </w:p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по гр.5</w:t>
                  </w:r>
                </w:p>
              </w:tc>
              <w:tc>
                <w:tcPr>
                  <w:tcW w:w="53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Примечание</w:t>
                  </w:r>
                </w:p>
              </w:tc>
            </w:tr>
            <w:tr w:rsidR="00100C1D">
              <w:trPr>
                <w:trHeight w:val="700"/>
              </w:trPr>
              <w:tc>
                <w:tcPr>
                  <w:tcW w:w="9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350</w:t>
                  </w:r>
                </w:p>
              </w:tc>
              <w:tc>
                <w:tcPr>
                  <w:tcW w:w="1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1 208 96 007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 xml:space="preserve"> Выплаты через подотчетное лицо премии учащимся </w:t>
                  </w:r>
                  <w:r>
                    <w:rPr>
                      <w:rFonts w:ascii="Calibri" w:eastAsia="Calibri" w:hAnsi="Calibri" w:cs="Calibri"/>
                      <w:color w:val="000000"/>
                    </w:rPr>
                    <w:t>школ за отличную учебу.</w:t>
                  </w:r>
                </w:p>
              </w:tc>
            </w:tr>
            <w:tr w:rsidR="00100C1D">
              <w:trPr>
                <w:trHeight w:val="1092"/>
              </w:trPr>
              <w:tc>
                <w:tcPr>
                  <w:tcW w:w="9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 323</w:t>
                  </w:r>
                </w:p>
              </w:tc>
              <w:tc>
                <w:tcPr>
                  <w:tcW w:w="1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1 303 14 001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 xml:space="preserve">Начисление страховых взносов и НДФЛ с </w:t>
                  </w:r>
                  <w:proofErr w:type="spellStart"/>
                  <w:r>
                    <w:rPr>
                      <w:rFonts w:ascii="Calibri" w:eastAsia="Calibri" w:hAnsi="Calibri" w:cs="Calibri"/>
                      <w:color w:val="000000"/>
                    </w:rPr>
                    <w:t>зар</w:t>
                  </w:r>
                  <w:proofErr w:type="gramStart"/>
                  <w:r>
                    <w:rPr>
                      <w:rFonts w:ascii="Calibri" w:eastAsia="Calibri" w:hAnsi="Calibri" w:cs="Calibri"/>
                      <w:color w:val="000000"/>
                    </w:rPr>
                    <w:t>.п</w:t>
                  </w:r>
                  <w:proofErr w:type="gramEnd"/>
                  <w:r>
                    <w:rPr>
                      <w:rFonts w:ascii="Calibri" w:eastAsia="Calibri" w:hAnsi="Calibri" w:cs="Calibri"/>
                      <w:color w:val="000000"/>
                    </w:rPr>
                    <w:t>латы</w:t>
                  </w:r>
                  <w:proofErr w:type="spellEnd"/>
                  <w:r>
                    <w:rPr>
                      <w:rFonts w:ascii="Calibri" w:eastAsia="Calibri" w:hAnsi="Calibri" w:cs="Calibri"/>
                      <w:color w:val="000000"/>
                    </w:rPr>
                    <w:t xml:space="preserve"> приемным родителям.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100C1D" w:rsidRDefault="00560092">
            <w:pP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 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Просроченная дебиторская задолженность по счету 1.205.23.000 по итогам 6 месяцев 2024 года уменьшилась по сравнению с 01.01.2024г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68689,68 руб.  (взыскано по судебным приказам с физ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иц (Бородин А.А., Назарова Н.В.) и по состоянию на  1.07.2024г составила 51094,86руб. Данная задолженность - задолженность по исполнительным документам КФХ Назарова И.И. - договоры аренды. Исполнитель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ные документы на взыскание задолженности находятся в службе судебных приставов.</w:t>
            </w:r>
          </w:p>
          <w:p w:rsidR="00100C1D" w:rsidRDefault="00560092">
            <w:pPr>
              <w:spacing w:before="240" w:after="240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Просроченная дебиторская задолженность по счету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20529000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состоянию на 01.07.2024г составила 3478,08руб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плата за наем жилого помещения по договору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спецнайма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 - по факту неплатежа специалистами Администрации направлено уведомление. На счете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120545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учтена дебиторская задолженность начисленных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пени за неисполнен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 условий договора аренды по судебным приказам на сумму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1397,57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Обороты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. 1.205.71.007 -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переплата по договору купли-продажи муниципального имущества. 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Обороты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. 1.209.34.001 ВР 129  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начислена задолженность за СФР по оплате отпуска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уходу за ребенком инвалидом. </w:t>
            </w:r>
          </w:p>
          <w:p w:rsidR="00100C1D" w:rsidRDefault="00560092">
            <w:pPr>
              <w:spacing w:before="240" w:after="240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Ошибки по ф.0503169_БК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внутридокументные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КС</w:t>
            </w:r>
          </w:p>
          <w:p w:rsidR="00100C1D" w:rsidRDefault="00560092"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70"/>
              <w:gridCol w:w="1406"/>
              <w:gridCol w:w="1276"/>
              <w:gridCol w:w="5387"/>
            </w:tblGrid>
            <w:tr w:rsidR="00100C1D">
              <w:tc>
                <w:tcPr>
                  <w:tcW w:w="9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Вид расхода</w:t>
                  </w:r>
                </w:p>
              </w:tc>
              <w:tc>
                <w:tcPr>
                  <w:tcW w:w="1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Номер счета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Суммы</w:t>
                  </w:r>
                </w:p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по гр.5</w:t>
                  </w:r>
                </w:p>
              </w:tc>
              <w:tc>
                <w:tcPr>
                  <w:tcW w:w="53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Примечание</w:t>
                  </w:r>
                </w:p>
              </w:tc>
            </w:tr>
            <w:tr w:rsidR="00100C1D">
              <w:trPr>
                <w:trHeight w:val="700"/>
              </w:trPr>
              <w:tc>
                <w:tcPr>
                  <w:tcW w:w="9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323</w:t>
                  </w:r>
                </w:p>
              </w:tc>
              <w:tc>
                <w:tcPr>
                  <w:tcW w:w="1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1 303 15 000</w:t>
                  </w:r>
                </w:p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1 304 03 007</w:t>
                  </w:r>
                </w:p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 xml:space="preserve">Начисление страховых взносов и НДФЛ с </w:t>
                  </w:r>
                  <w:proofErr w:type="spellStart"/>
                  <w:r>
                    <w:rPr>
                      <w:rFonts w:ascii="Calibri" w:eastAsia="Calibri" w:hAnsi="Calibri" w:cs="Calibri"/>
                      <w:color w:val="000000"/>
                    </w:rPr>
                    <w:t>зар</w:t>
                  </w:r>
                  <w:proofErr w:type="gramStart"/>
                  <w:r>
                    <w:rPr>
                      <w:rFonts w:ascii="Calibri" w:eastAsia="Calibri" w:hAnsi="Calibri" w:cs="Calibri"/>
                      <w:color w:val="000000"/>
                    </w:rPr>
                    <w:t>.п</w:t>
                  </w:r>
                  <w:proofErr w:type="gramEnd"/>
                  <w:r>
                    <w:rPr>
                      <w:rFonts w:ascii="Calibri" w:eastAsia="Calibri" w:hAnsi="Calibri" w:cs="Calibri"/>
                      <w:color w:val="000000"/>
                    </w:rPr>
                    <w:t>латы</w:t>
                  </w:r>
                  <w:proofErr w:type="spellEnd"/>
                  <w:r>
                    <w:rPr>
                      <w:rFonts w:ascii="Calibri" w:eastAsia="Calibri" w:hAnsi="Calibri" w:cs="Calibri"/>
                      <w:color w:val="000000"/>
                    </w:rPr>
                    <w:t xml:space="preserve"> приемным родителям.</w:t>
                  </w:r>
                </w:p>
              </w:tc>
            </w:tr>
            <w:tr w:rsidR="00100C1D">
              <w:trPr>
                <w:trHeight w:val="1092"/>
              </w:trPr>
              <w:tc>
                <w:tcPr>
                  <w:tcW w:w="9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 321</w:t>
                  </w:r>
                </w:p>
              </w:tc>
              <w:tc>
                <w:tcPr>
                  <w:tcW w:w="1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1 302 98 000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bottom w:w="0" w:type="dxa"/>
                  </w:tcMar>
                  <w:hideMark/>
                </w:tcPr>
                <w:p w:rsidR="00100C1D" w:rsidRDefault="00560092">
                  <w:r>
                    <w:rPr>
                      <w:rFonts w:ascii="Calibri" w:eastAsia="Calibri" w:hAnsi="Calibri" w:cs="Calibri"/>
                      <w:color w:val="000000"/>
                    </w:rPr>
                    <w:t> Выплаты единовременной материальной помощи нуждающимся гражданам в результате пожара.</w:t>
                  </w:r>
                </w:p>
              </w:tc>
            </w:tr>
          </w:tbl>
          <w:p w:rsidR="00100C1D" w:rsidRDefault="00560092"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</w:p>
          <w:p w:rsidR="00100C1D" w:rsidRDefault="00560092"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u w:val="single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</w:t>
            </w: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   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ф.050169 БК 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кредиторская</w:t>
            </w:r>
            <w:proofErr w:type="gramEnd"/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по счету 208 00 000 -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кредиторская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зад-ть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 сумме 35591,95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сложилась из задолженности: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- 208 25 000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= 8400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задолженность за заправку картриджей,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ремотн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автобуса; 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- 208 26 000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= 2740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командировочные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расходысотрудников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- 208 34 000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= 24315,95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           -11177,47  - задолженность за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ГСМ;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   -13138,48  -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приобретение запчастей к автомобилям, другие 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                     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хоз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асходы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по счету 302 00 000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в сумме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6325641,57 рублей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 в 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 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302 21 000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144936,14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задолженность за услуги связи за июнь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м-ц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2024г. </w:t>
            </w:r>
          </w:p>
          <w:p w:rsidR="00100C1D" w:rsidRDefault="00560092">
            <w:pPr>
              <w:spacing w:before="240" w:after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 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302 22 000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19329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транспортные услуги, в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договорам ГПХ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 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 302 23 000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Задолженность составила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2858152,10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руб., из них: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-  106484,41 руб. - задолженность за электроэнергию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2023г, 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                              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теплоэ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нергия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- 103125,23 руб. - задолженность за водоснабжение, водоотведение;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- 2613009,10 руб. - задолженность за приобретение дров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исполнительному</w:t>
            </w:r>
            <w:proofErr w:type="gramEnd"/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                               документу за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ликвидируемое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МУП;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  - 35533,36 руб. – текущая задолженность за твердые бытовые отходы.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 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302 24 000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Задолженность составила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101717,43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руб.,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задолженость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договорам аренды в части принятых учреждением обязательств.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 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302 25 000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Задолженность составила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1396637,65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             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          -  352981,82 руб. - задолженность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окашиванию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травы;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- 370491 руб. -   задолженность по опашке населенных пунктов;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     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- 30694 руб. - задолженность по очистке территорий от мусора, травы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                           кустарников;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- 18138,30 руб. – задолженность по взносам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емонт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НО региональный 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                        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опеатор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.</w:t>
            </w:r>
            <w:proofErr w:type="gramEnd"/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          - 291583,30 руб. - задолженность по обслуживанию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тревожной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пожарной 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                          кнопки в школах.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- 443880 руб. - задолженность за текущий ремонт пирсов.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- 15712,53 руб. - прочая текущая задолженность.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-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302 26 000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Задолженность составила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236,71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руб., из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них: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- 350832,00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руб., -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програмного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обеспечения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лингафонного 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                              кабинета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Мехонской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СОШ (в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емонта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    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- 80540 руб., - сопровождение ПК: 1С,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Консультант Плюс;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   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- 86362 руб.,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предрейсовые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смотры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водителей;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       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 - 81850  руб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.,  -   повышение классификации сотрудников образования;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- 16960,26 руб., -  тех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бслуживание газопроводов;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- 12662,08 руб., - задолженность по договорам ГПХ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летний 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                          период;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- 101712,37 руб., - прочая текущая задолженность.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 302 31 000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Задолженность составила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 702062,05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 них:  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       - 235513,85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 - задолженность за приобретение учебников;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   - 443880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 - строительство пирсов.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      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- 22668,20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 - задолженность за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ОС;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 302 34 000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Задолженность сос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тавила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768978,54 руб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из них:  </w:t>
            </w:r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      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- 84165,50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 - задолженность за приобретенный ГСМ;</w:t>
            </w:r>
            <w:proofErr w:type="gramEnd"/>
          </w:p>
          <w:p w:rsidR="00100C1D" w:rsidRDefault="00560092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  - 10868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 - приобретение прочих МЗ.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          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- 673945,04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 - задолженность за продукты питания.</w:t>
            </w:r>
          </w:p>
          <w:p w:rsidR="00100C1D" w:rsidRDefault="00560092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595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781"/>
              <w:gridCol w:w="95"/>
              <w:gridCol w:w="48"/>
              <w:gridCol w:w="48"/>
              <w:gridCol w:w="48"/>
              <w:gridCol w:w="2935"/>
            </w:tblGrid>
            <w:tr w:rsidR="00100C1D">
              <w:trPr>
                <w:trHeight w:val="630"/>
              </w:trPr>
              <w:tc>
                <w:tcPr>
                  <w:tcW w:w="59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100C1D">
              <w:trPr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  <w:tr w:rsidR="00100C1D">
              <w:trPr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100C1D" w:rsidRDefault="00560092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100C1D" w:rsidRDefault="00100C1D"/>
        </w:tc>
      </w:tr>
    </w:tbl>
    <w:p w:rsidR="00100C1D" w:rsidRDefault="00560092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5.</w:t>
      </w:r>
    </w:p>
    <w:p w:rsidR="00100C1D" w:rsidRDefault="00560092">
      <w:r>
        <w:rPr>
          <w:rFonts w:ascii="Calibri" w:eastAsia="Calibri" w:hAnsi="Calibri" w:cs="Calibri"/>
          <w:color w:val="000000"/>
        </w:rPr>
        <w:t> </w:t>
      </w:r>
    </w:p>
    <w:p w:rsidR="00100C1D" w:rsidRDefault="00100C1D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100C1D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100C1D"/>
        </w:tc>
      </w:tr>
      <w:tr w:rsidR="00100C1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100C1D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100C1D"/>
        </w:tc>
      </w:tr>
      <w:tr w:rsidR="00100C1D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00C1D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00C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100C1D">
            <w:pPr>
              <w:rPr>
                <w:sz w:val="24"/>
              </w:rPr>
            </w:pPr>
          </w:p>
        </w:tc>
      </w:tr>
      <w:tr w:rsidR="00100C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00C1D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</w:tr>
      <w:tr w:rsidR="00100C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100C1D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00C1D" w:rsidRDefault="00100C1D">
            <w:pPr>
              <w:rPr>
                <w:sz w:val="24"/>
              </w:rPr>
            </w:pPr>
          </w:p>
        </w:tc>
      </w:tr>
      <w:tr w:rsidR="00100C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C1D" w:rsidRDefault="005600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100C1D" w:rsidRDefault="005600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00C1D" w:rsidRDefault="005600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100C1D" w:rsidRDefault="00560092"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   </w:t>
      </w:r>
    </w:p>
    <w:sectPr w:rsidR="00100C1D" w:rsidSect="00100C1D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0C1D"/>
    <w:rsid w:val="00100C1D"/>
    <w:rsid w:val="00560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0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100C1D"/>
  </w:style>
  <w:style w:type="character" w:styleId="a3">
    <w:name w:val="Hyperlink"/>
    <w:rsid w:val="00100C1D"/>
    <w:rPr>
      <w:color w:val="0000FF"/>
      <w:u w:val="single"/>
    </w:rPr>
  </w:style>
  <w:style w:type="table" w:styleId="1">
    <w:name w:val="Table Simple 1"/>
    <w:basedOn w:val="a1"/>
    <w:rsid w:val="00100C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1327</Words>
  <Characters>7566</Characters>
  <Application>Microsoft Office Word</Application>
  <DocSecurity>0</DocSecurity>
  <Lines>63</Lines>
  <Paragraphs>17</Paragraphs>
  <ScaleCrop>false</ScaleCrop>
  <Company/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2024-10-22T09:42:00Z</dcterms:created>
  <dcterms:modified xsi:type="dcterms:W3CDTF">2024-10-22T09:42:00Z</dcterms:modified>
</cp:coreProperties>
</file>