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772"/>
      </w:tblGrid>
      <w:tr w:rsidR="00465091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091" w:rsidRDefault="006F68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465091" w:rsidRDefault="006F68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6091"/>
        <w:gridCol w:w="228"/>
        <w:gridCol w:w="1538"/>
        <w:gridCol w:w="1723"/>
      </w:tblGrid>
      <w:tr w:rsidR="00465091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6509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465091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декабря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01.12.2024</w:t>
            </w:r>
          </w:p>
        </w:tc>
      </w:tr>
      <w:tr w:rsidR="00465091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</w:tr>
      <w:tr w:rsidR="0046509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</w:tr>
      <w:tr w:rsidR="0046509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</w:tr>
      <w:tr w:rsidR="0046509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0"/>
              </w:rPr>
            </w:pPr>
          </w:p>
        </w:tc>
      </w:tr>
      <w:tr w:rsidR="00465091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23.1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Шатровский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Муниципальный округ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901</w:t>
            </w:r>
          </w:p>
        </w:tc>
      </w:tr>
      <w:tr w:rsidR="00465091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муниципальных округов</w:t>
            </w:r>
          </w:p>
          <w:p w:rsidR="00465091" w:rsidRDefault="006F6892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37540000</w:t>
            </w:r>
          </w:p>
        </w:tc>
      </w:tr>
      <w:tr w:rsidR="00465091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6509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</w:tbl>
    <w:p w:rsidR="00465091" w:rsidRDefault="006F68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1: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Финансовый отдел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(далее Финансовый отдел) является отраслевым органом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Финансовый отдел возглавляет заместитель Главы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района по финансам - руковод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итель Финансового отдела. </w:t>
      </w:r>
    </w:p>
    <w:p w:rsidR="00465091" w:rsidRDefault="006F68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  В отдел учета и отчетности Финансового отдела принят штат бухгалтеров, выполняющих ведение бюджетного (бухгалтерского) учета по исполнению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округа. Учреждений, ведущих бухгалтерский учет самос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тоятельно нет. Между Финансовым отделом и Учреждениями округа заключены соглашения о передаче полномочий по ведению бухгалтерского учета.</w:t>
      </w:r>
    </w:p>
    <w:p w:rsidR="00465091" w:rsidRDefault="006F6892">
      <w:pPr>
        <w:spacing w:before="240" w:after="240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Раздел 2:</w:t>
      </w:r>
    </w:p>
    <w:p w:rsidR="00465091" w:rsidRDefault="006F6892">
      <w:pPr>
        <w:spacing w:before="240" w:after="24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   Раздел 3: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 по состоянию на 1 декабря 2024 года по доходам исполнен в сумме 654125,7 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уб., что составляет 82,2 % к годовым бюджетным назначениям. Объем собственных доходов в бюджетных ресурсах составил 129416,9т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уб. или 94,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7 %  к годовым назначениям. </w:t>
      </w:r>
    </w:p>
    <w:p w:rsidR="00465091" w:rsidRDefault="006F689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 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Шатровского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муниципального округа на 1 декабря 2024 года  по расходам исполнен в сумме 638469,6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уб., что составляет 78 % к годовым бюджетным назначениям. Неравномерное финансирование в разрезе функциональной бюджетной классификации связано с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различным уровнем затрат по статьям расходов. В первоочередном порядке поступающие в бюджет средства направлялись на социально-значимые мероприяти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я-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выплату заработной платы, уплату единого социального налога, оплату коммунальных услуг, социальные выплаты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населению - 515946,8 тыс.руб. (81% расходов бюджета). </w:t>
      </w:r>
    </w:p>
    <w:p w:rsidR="00465091" w:rsidRDefault="006F6892">
      <w:pPr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465091" w:rsidRDefault="006F6892">
      <w:pPr>
        <w:jc w:val="both"/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95"/>
        <w:gridCol w:w="95"/>
        <w:gridCol w:w="9605"/>
      </w:tblGrid>
      <w:tr w:rsidR="00465091">
        <w:trPr>
          <w:trHeight w:val="240"/>
        </w:trPr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091" w:rsidRDefault="006F6892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  </w:t>
            </w:r>
          </w:p>
        </w:tc>
        <w:tc>
          <w:tcPr>
            <w:tcW w:w="1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091" w:rsidRDefault="006F68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091" w:rsidRDefault="006F68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 </w:t>
            </w:r>
          </w:p>
        </w:tc>
        <w:tc>
          <w:tcPr>
            <w:tcW w:w="96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465091" w:rsidRDefault="006F6892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</w:p>
          <w:p w:rsidR="00465091" w:rsidRDefault="006F6892">
            <w:pPr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Ф.0503173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  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 Изменения остатков валюты баланса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u w:val="single"/>
              </w:rPr>
              <w:t>по коду причины03:</w:t>
            </w:r>
          </w:p>
          <w:p w:rsidR="00465091" w:rsidRDefault="006F68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     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250 по счету 205.29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: несвоевременное поступление первичных документов (договоров) в отдел уче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та и отчетности на сумму 34594.92 руб. </w:t>
            </w:r>
          </w:p>
          <w:p w:rsidR="00465091" w:rsidRDefault="006F68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 счету 205.45 -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отчету УМВД.</w:t>
            </w:r>
          </w:p>
          <w:p w:rsidR="00465091" w:rsidRDefault="006F6892">
            <w:pPr>
              <w:spacing w:before="240" w:after="240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стр.070 по счету 103.11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несвоевременным представлением первичных учетных документов (Постановление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Шатровского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о закреплении права собственности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земельные участки) -3854169,38 руб.</w:t>
            </w:r>
          </w:p>
          <w:p w:rsidR="00465091" w:rsidRDefault="006F6892">
            <w:pPr>
              <w:spacing w:before="120" w:after="120"/>
              <w:jc w:val="both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Ф.0503117-НП, ф.0503128-НП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   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лимиов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 сравнению с прошлым месяцем по КБК 000.0401.250P253000.121(129) на сумму 576776,78, в соответствии с Уведомлением Департамента соц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олитики.</w:t>
            </w:r>
          </w:p>
        </w:tc>
      </w:tr>
    </w:tbl>
    <w:p w:rsidR="00465091" w:rsidRDefault="006F689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65091" w:rsidRDefault="006F6892"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Р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 xml:space="preserve">асхождения 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u w:val="single"/>
        </w:rPr>
        <w:t>ф.0503387 с предыдущим месяцем (октябрем) 2024 года</w:t>
      </w:r>
    </w:p>
    <w:p w:rsidR="00465091" w:rsidRDefault="006F6892">
      <w:r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 </w:t>
      </w:r>
    </w:p>
    <w:p w:rsidR="00465091" w:rsidRDefault="006F6892">
      <w:r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 xml:space="preserve">- по строке 12520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расхождения на сумму990565,78 образовалась в связи ошибочным указанием расходов казенного учреждения.</w:t>
      </w:r>
    </w:p>
    <w:p w:rsidR="00465091" w:rsidRDefault="006F6892">
      <w:r>
        <w:rPr>
          <w:rFonts w:ascii="Calibri" w:eastAsia="Calibri" w:hAnsi="Calibri" w:cs="Calibri"/>
          <w:i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u w:val="single"/>
        </w:rPr>
        <w:t xml:space="preserve">- по строке 03140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расхождения на сумму533880 образовалась в связи ошибочным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указанием расходов в предыдущем месяце.</w:t>
      </w:r>
    </w:p>
    <w:p w:rsidR="00465091" w:rsidRDefault="006F6892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465091" w:rsidRDefault="006F6892"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5.</w:t>
      </w:r>
    </w:p>
    <w:p w:rsidR="00465091" w:rsidRDefault="00465091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2730"/>
        <w:gridCol w:w="4732"/>
        <w:gridCol w:w="3478"/>
      </w:tblGrid>
      <w:tr w:rsidR="00465091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465091"/>
        </w:tc>
      </w:tr>
      <w:tr w:rsidR="00465091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465091"/>
        </w:tc>
      </w:tr>
      <w:tr w:rsidR="00465091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5091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6509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465091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5091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091" w:rsidRDefault="00465091">
            <w:pPr>
              <w:rPr>
                <w:sz w:val="24"/>
              </w:rPr>
            </w:pPr>
          </w:p>
        </w:tc>
      </w:tr>
      <w:tr w:rsidR="0046509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091" w:rsidRDefault="006F689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465091" w:rsidRDefault="006F68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465091" w:rsidRDefault="006F6892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465091" w:rsidRDefault="006F6892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10.12.2024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Загвоздина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Марина Анатольевна, Сертификат: 3338E51B02B662E0A9F95BF37D5E1499, Действителен: с 07.06.2024 по 31.08.2025),Руководитель(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Серко</w:t>
      </w:r>
      <w:r>
        <w:rPr>
          <w:rFonts w:ascii="Times New Roman" w:eastAsia="Times New Roman" w:hAnsi="Times New Roman" w:cs="Times New Roman"/>
          <w:sz w:val="24"/>
          <w:szCs w:val="24"/>
        </w:rPr>
        <w:t>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Наталья Леонидовна, Сертификат: 00D883D24E0278CDCBEEE97263D39497B9, Действителен: с 06.06.2024 по 30.08.2025)        </w:t>
      </w:r>
    </w:p>
    <w:sectPr w:rsidR="00465091" w:rsidSect="00465091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65091"/>
    <w:rsid w:val="00465091"/>
    <w:rsid w:val="006F6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650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465091"/>
  </w:style>
  <w:style w:type="character" w:styleId="a3">
    <w:name w:val="Hyperlink"/>
    <w:rsid w:val="00465091"/>
    <w:rPr>
      <w:color w:val="0000FF"/>
      <w:u w:val="single"/>
    </w:rPr>
  </w:style>
  <w:style w:type="table" w:styleId="1">
    <w:name w:val="Table Simple 1"/>
    <w:basedOn w:val="a1"/>
    <w:rsid w:val="004650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user_11</dc:creator>
  <cp:lastModifiedBy>user_11</cp:lastModifiedBy>
  <cp:revision>2</cp:revision>
  <dcterms:created xsi:type="dcterms:W3CDTF">2025-02-11T06:56:00Z</dcterms:created>
  <dcterms:modified xsi:type="dcterms:W3CDTF">2025-02-11T06:56:00Z</dcterms:modified>
</cp:coreProperties>
</file>