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5740F6">
        <w:rPr>
          <w:rFonts w:ascii="PT Astra Serif" w:hAnsi="PT Astra Serif"/>
          <w:sz w:val="24"/>
          <w:szCs w:val="24"/>
          <w:lang w:val="ru-RU"/>
        </w:rPr>
        <w:t>25 сентября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757A6A">
        <w:rPr>
          <w:rFonts w:ascii="PT Astra Serif" w:hAnsi="PT Astra Serif"/>
          <w:sz w:val="24"/>
          <w:szCs w:val="24"/>
          <w:lang w:val="ru-RU"/>
        </w:rPr>
        <w:t xml:space="preserve">           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740F6">
        <w:rPr>
          <w:rFonts w:ascii="PT Astra Serif" w:hAnsi="PT Astra Serif"/>
          <w:sz w:val="24"/>
          <w:szCs w:val="24"/>
          <w:lang w:val="ru-RU"/>
        </w:rPr>
        <w:t>20 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5740F6">
        <w:rPr>
          <w:rFonts w:ascii="PT Astra Serif" w:hAnsi="PT Astra Serif"/>
          <w:sz w:val="24"/>
          <w:szCs w:val="24"/>
          <w:lang w:val="ru-RU"/>
        </w:rPr>
        <w:t>24 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5740F6">
        <w:rPr>
          <w:rFonts w:ascii="PT Astra Serif" w:hAnsi="PT Astra Serif"/>
          <w:sz w:val="24"/>
          <w:szCs w:val="24"/>
          <w:lang w:val="ru-RU"/>
        </w:rPr>
        <w:t>26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740F6">
        <w:rPr>
          <w:rFonts w:ascii="PT Astra Serif" w:hAnsi="PT Astra Serif"/>
          <w:sz w:val="24"/>
          <w:szCs w:val="24"/>
          <w:lang w:val="ru-RU"/>
        </w:rPr>
        <w:t>октября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2D0144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Сведения</w:t>
      </w:r>
      <w:r w:rsidRPr="002D0144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об аукционе</w:t>
      </w:r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2D0144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2D0144">
        <w:rPr>
          <w:rFonts w:ascii="PT Astra Serif" w:hAnsi="PT Astra Serif"/>
          <w:sz w:val="24"/>
          <w:szCs w:val="24"/>
          <w:lang w:val="ru-RU"/>
        </w:rPr>
        <w:t>Основания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2D0144">
        <w:rPr>
          <w:rFonts w:ascii="PT Astra Serif" w:hAnsi="PT Astra Serif"/>
          <w:sz w:val="24"/>
          <w:szCs w:val="24"/>
          <w:lang w:val="ru-RU"/>
        </w:rPr>
        <w:t>проведения</w:t>
      </w:r>
      <w:r w:rsidRPr="002D0144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A940F6" w:rsidRPr="002D0144">
        <w:rPr>
          <w:rFonts w:ascii="PT Astra Serif" w:hAnsi="PT Astra Serif"/>
          <w:sz w:val="24"/>
          <w:szCs w:val="24"/>
          <w:lang w:val="ru-RU"/>
        </w:rPr>
        <w:t>аукциона</w:t>
      </w:r>
      <w:r w:rsidRPr="002D0144">
        <w:rPr>
          <w:rFonts w:ascii="PT Astra Serif" w:hAnsi="PT Astra Serif"/>
          <w:sz w:val="24"/>
          <w:szCs w:val="24"/>
          <w:lang w:val="ru-RU"/>
        </w:rPr>
        <w:t>:</w:t>
      </w:r>
    </w:p>
    <w:p w:rsidR="008C1538" w:rsidRPr="00D54446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54446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54446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54446">
        <w:rPr>
          <w:rFonts w:ascii="PT Astra Serif" w:hAnsi="PT Astra Serif"/>
          <w:sz w:val="24"/>
          <w:szCs w:val="24"/>
          <w:lang w:val="ru-RU"/>
        </w:rPr>
        <w:t>от</w:t>
      </w:r>
      <w:r w:rsidR="00795604" w:rsidRPr="00D544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DC5E1D" w:rsidRPr="00DC5E1D">
        <w:rPr>
          <w:rFonts w:ascii="PT Astra Serif" w:hAnsi="PT Astra Serif"/>
          <w:sz w:val="24"/>
          <w:szCs w:val="24"/>
          <w:lang w:val="ru-RU"/>
        </w:rPr>
        <w:t>22 сентября</w:t>
      </w:r>
      <w:r w:rsidR="006D2452" w:rsidRPr="00DC5E1D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940F6" w:rsidRPr="00DC5E1D">
        <w:rPr>
          <w:rFonts w:ascii="PT Astra Serif" w:hAnsi="PT Astra Serif"/>
          <w:sz w:val="24"/>
          <w:szCs w:val="24"/>
          <w:lang w:val="ru-RU"/>
        </w:rPr>
        <w:t>202</w:t>
      </w:r>
      <w:r w:rsidR="00D54446" w:rsidRPr="00DC5E1D">
        <w:rPr>
          <w:rFonts w:ascii="PT Astra Serif" w:hAnsi="PT Astra Serif"/>
          <w:sz w:val="24"/>
          <w:szCs w:val="24"/>
          <w:lang w:val="ru-RU"/>
        </w:rPr>
        <w:t>3</w:t>
      </w:r>
      <w:r w:rsidR="00A940F6" w:rsidRPr="00DC5E1D">
        <w:rPr>
          <w:rFonts w:ascii="PT Astra Serif" w:hAnsi="PT Astra Serif"/>
          <w:sz w:val="24"/>
          <w:szCs w:val="24"/>
          <w:lang w:val="ru-RU"/>
        </w:rPr>
        <w:t xml:space="preserve"> года № </w:t>
      </w:r>
      <w:r w:rsidR="00DC5E1D" w:rsidRPr="00DC5E1D">
        <w:rPr>
          <w:rFonts w:ascii="PT Astra Serif" w:hAnsi="PT Astra Serif"/>
          <w:sz w:val="24"/>
          <w:szCs w:val="24"/>
          <w:lang w:val="ru-RU"/>
        </w:rPr>
        <w:t>467</w:t>
      </w:r>
      <w:r w:rsidR="00A940F6" w:rsidRPr="00DC5E1D">
        <w:rPr>
          <w:rFonts w:ascii="PT Astra Serif" w:hAnsi="PT Astra Serif"/>
          <w:sz w:val="24"/>
          <w:szCs w:val="24"/>
          <w:lang w:val="ru-RU"/>
        </w:rPr>
        <w:t>-р</w:t>
      </w:r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 </w:t>
      </w:r>
      <w:bookmarkStart w:id="0" w:name="_GoBack"/>
      <w:bookmarkEnd w:id="0"/>
      <w:r w:rsidR="00A940F6" w:rsidRPr="00D54446">
        <w:rPr>
          <w:rFonts w:ascii="PT Astra Serif" w:hAnsi="PT Astra Serif"/>
          <w:sz w:val="24"/>
          <w:szCs w:val="24"/>
          <w:lang w:val="ru-RU"/>
        </w:rPr>
        <w:t xml:space="preserve">«Об утверждении условий приватизации </w:t>
      </w:r>
      <w:r w:rsidR="009203B8" w:rsidRPr="00D54446">
        <w:rPr>
          <w:rFonts w:ascii="PT Astra Serif" w:hAnsi="PT Astra Serif"/>
          <w:sz w:val="24"/>
          <w:szCs w:val="24"/>
          <w:lang w:val="ru-RU"/>
        </w:rPr>
        <w:t>недвижимого имущества</w:t>
      </w:r>
      <w:r w:rsidRPr="00D54446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271904" w:rsidRPr="00271904">
        <w:rPr>
          <w:rFonts w:ascii="PT Astra Serif" w:hAnsi="PT Astra Serif"/>
          <w:sz w:val="24"/>
          <w:szCs w:val="24"/>
        </w:rPr>
        <w:t>http</w:t>
      </w:r>
      <w:r w:rsidR="00271904" w:rsidRPr="00795604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roseltorg</w:t>
      </w:r>
      <w:proofErr w:type="spellEnd"/>
      <w:r w:rsidR="00271904" w:rsidRPr="00795604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271904" w:rsidRPr="00271904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661E8">
        <w:rPr>
          <w:rFonts w:ascii="PT Astra Serif" w:hAnsi="PT Astra Serif"/>
          <w:spacing w:val="1"/>
          <w:sz w:val="24"/>
          <w:szCs w:val="24"/>
          <w:lang w:val="ru-RU"/>
        </w:rPr>
        <w:t>п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омещения детского сада в административном здании, назначение: нежилое, общая площадь 469,7 кв. м, кадастровый номер 45:21:010502:263, расположенное по адресу: Курганская область, Шатровский район, с. Ильино, ул. Центральная, д. 10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600 000,00 (Шестьсот тысяч) рублей 00 копеек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6661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6661E8" w:rsidRPr="006661E8">
        <w:rPr>
          <w:rFonts w:ascii="PT Astra Serif" w:hAnsi="PT Astra Serif"/>
          <w:sz w:val="24"/>
          <w:szCs w:val="24"/>
          <w:lang w:val="ru-RU"/>
        </w:rPr>
        <w:t>30 000</w:t>
      </w:r>
      <w:r w:rsidR="002D0144">
        <w:rPr>
          <w:rFonts w:ascii="PT Astra Serif" w:hAnsi="PT Astra Serif"/>
          <w:sz w:val="24"/>
          <w:szCs w:val="24"/>
          <w:lang w:val="ru-RU"/>
        </w:rPr>
        <w:t>,00</w:t>
      </w:r>
      <w:r w:rsidR="002D0144" w:rsidRPr="002D0144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>Три</w:t>
      </w:r>
      <w:r w:rsidR="002D0144">
        <w:rPr>
          <w:rFonts w:ascii="PT Astra Serif" w:hAnsi="PT Astra Serif"/>
          <w:sz w:val="24"/>
          <w:szCs w:val="24"/>
          <w:lang w:val="ru-RU"/>
        </w:rPr>
        <w:t xml:space="preserve">дцать </w:t>
      </w:r>
      <w:proofErr w:type="gramStart"/>
      <w:r w:rsidR="006661E8">
        <w:rPr>
          <w:rFonts w:ascii="PT Astra Serif" w:hAnsi="PT Astra Serif"/>
          <w:sz w:val="24"/>
          <w:szCs w:val="24"/>
          <w:lang w:val="ru-RU"/>
        </w:rPr>
        <w:t>тысяч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EB6640">
        <w:rPr>
          <w:rFonts w:ascii="PT Astra Serif" w:hAnsi="PT Astra Serif"/>
          <w:b/>
          <w:sz w:val="24"/>
          <w:szCs w:val="24"/>
          <w:lang w:val="ru-RU"/>
        </w:rPr>
        <w:t>(1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6661E8" w:rsidRPr="006661E8">
        <w:rPr>
          <w:rFonts w:ascii="PT Astra Serif" w:hAnsi="PT Astra Serif"/>
          <w:spacing w:val="-5"/>
          <w:sz w:val="24"/>
          <w:szCs w:val="24"/>
          <w:lang w:val="ru-RU"/>
        </w:rPr>
        <w:t>60 000</w:t>
      </w:r>
      <w:r w:rsidR="00974D75">
        <w:rPr>
          <w:rFonts w:ascii="PT Astra Serif" w:hAnsi="PT Astra Serif"/>
          <w:spacing w:val="-5"/>
          <w:sz w:val="24"/>
          <w:szCs w:val="24"/>
          <w:lang w:val="ru-RU"/>
        </w:rPr>
        <w:t>,</w:t>
      </w:r>
      <w:r w:rsidR="002D0144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0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6661E8">
        <w:rPr>
          <w:rFonts w:ascii="PT Astra Serif" w:hAnsi="PT Astra Serif"/>
          <w:sz w:val="24"/>
          <w:szCs w:val="24"/>
          <w:lang w:val="ru-RU"/>
        </w:rPr>
        <w:t>Шестьдесят тысяч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5740F6">
        <w:rPr>
          <w:rFonts w:ascii="PT Astra Serif" w:hAnsi="PT Astra Serif"/>
          <w:spacing w:val="-7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EB6640">
        <w:rPr>
          <w:rFonts w:ascii="PT Astra Serif" w:hAnsi="PT Astra Serif"/>
          <w:sz w:val="24"/>
          <w:szCs w:val="24"/>
          <w:lang w:val="ru-RU"/>
        </w:rPr>
        <w:t>0</w:t>
      </w:r>
      <w:r w:rsidR="005740F6">
        <w:rPr>
          <w:rFonts w:ascii="PT Astra Serif" w:hAnsi="PT Astra Serif"/>
          <w:sz w:val="24"/>
          <w:szCs w:val="24"/>
          <w:lang w:val="ru-RU"/>
        </w:rPr>
        <w:t>9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5740F6">
        <w:rPr>
          <w:rFonts w:ascii="PT Astra Serif" w:hAnsi="PT Astra Serif"/>
          <w:spacing w:val="-8"/>
          <w:sz w:val="24"/>
          <w:szCs w:val="24"/>
          <w:lang w:val="ru-RU"/>
        </w:rPr>
        <w:t>20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740F6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740F6">
        <w:rPr>
          <w:rFonts w:ascii="PT Astra Serif" w:hAnsi="PT Astra Serif"/>
          <w:sz w:val="24"/>
          <w:szCs w:val="24"/>
          <w:lang w:val="ru-RU"/>
        </w:rPr>
        <w:t>20</w:t>
      </w:r>
      <w:r w:rsidR="00EB6640">
        <w:rPr>
          <w:rFonts w:ascii="PT Astra Serif" w:hAnsi="PT Astra Serif"/>
          <w:sz w:val="24"/>
          <w:szCs w:val="24"/>
          <w:lang w:val="ru-RU"/>
        </w:rPr>
        <w:t>.</w:t>
      </w:r>
      <w:r w:rsidR="005740F6">
        <w:rPr>
          <w:rFonts w:ascii="PT Astra Serif" w:hAnsi="PT Astra Serif"/>
          <w:sz w:val="24"/>
          <w:szCs w:val="24"/>
          <w:lang w:val="ru-RU"/>
        </w:rPr>
        <w:t>10</w:t>
      </w:r>
      <w:r w:rsidR="001F0D26">
        <w:rPr>
          <w:rFonts w:ascii="PT Astra Serif" w:hAnsi="PT Astra Serif"/>
          <w:sz w:val="24"/>
          <w:szCs w:val="24"/>
          <w:lang w:val="ru-RU"/>
        </w:rPr>
        <w:t>.202</w:t>
      </w:r>
      <w:r w:rsidR="00EB6640"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  <w:r w:rsidR="005740F6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5740F6" w:rsidRDefault="005740F6" w:rsidP="005740F6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15.09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</w:t>
      </w:r>
      <w:r>
        <w:rPr>
          <w:rFonts w:ascii="PT Astra Serif" w:hAnsi="PT Astra Serif"/>
          <w:b w:val="0"/>
          <w:sz w:val="24"/>
          <w:szCs w:val="24"/>
          <w:lang w:val="ru-RU"/>
        </w:rPr>
        <w:t>3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г N 860 «Об организации и проведении продажи государственного или муниципального</w:t>
      </w:r>
      <w:r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форме».</w:t>
      </w:r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и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proofErr w:type="gramEnd"/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EB6640" w:rsidRPr="00FD644A" w:rsidRDefault="00EB6640" w:rsidP="00EB6640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8A7771">
      <w:pPr>
        <w:pStyle w:val="TableParagraph"/>
        <w:ind w:firstLine="709"/>
        <w:rPr>
          <w:lang w:val="ru-RU"/>
        </w:rPr>
      </w:pPr>
      <w:r w:rsidRPr="008A7771">
        <w:rPr>
          <w:b/>
          <w:lang w:val="ru-RU"/>
        </w:rPr>
        <w:t>Дата</w:t>
      </w:r>
      <w:r w:rsidRPr="008A7771">
        <w:rPr>
          <w:b/>
          <w:spacing w:val="35"/>
          <w:lang w:val="ru-RU"/>
        </w:rPr>
        <w:t xml:space="preserve"> </w:t>
      </w:r>
      <w:r w:rsidRPr="008A7771">
        <w:rPr>
          <w:b/>
          <w:lang w:val="ru-RU"/>
        </w:rPr>
        <w:t>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время</w:t>
      </w:r>
      <w:r w:rsidRPr="008A7771">
        <w:rPr>
          <w:b/>
          <w:spacing w:val="40"/>
          <w:lang w:val="ru-RU"/>
        </w:rPr>
        <w:t xml:space="preserve"> </w:t>
      </w:r>
      <w:r w:rsidRPr="008A7771">
        <w:rPr>
          <w:b/>
          <w:lang w:val="ru-RU"/>
        </w:rPr>
        <w:t>начала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подачи</w:t>
      </w:r>
      <w:r w:rsidRPr="008A7771">
        <w:rPr>
          <w:b/>
          <w:spacing w:val="39"/>
          <w:lang w:val="ru-RU"/>
        </w:rPr>
        <w:t xml:space="preserve"> </w:t>
      </w:r>
      <w:r w:rsidRPr="008A7771">
        <w:rPr>
          <w:b/>
          <w:lang w:val="ru-RU"/>
        </w:rPr>
        <w:t>(приема)</w:t>
      </w:r>
      <w:r w:rsidRPr="008A7771">
        <w:rPr>
          <w:b/>
          <w:spacing w:val="38"/>
          <w:lang w:val="ru-RU"/>
        </w:rPr>
        <w:t xml:space="preserve"> </w:t>
      </w:r>
      <w:r w:rsidRPr="008A7771">
        <w:rPr>
          <w:b/>
          <w:lang w:val="ru-RU"/>
        </w:rPr>
        <w:t>Заявок</w:t>
      </w:r>
      <w:r w:rsidRPr="00FD644A">
        <w:rPr>
          <w:lang w:val="ru-RU"/>
        </w:rPr>
        <w:t xml:space="preserve">: </w:t>
      </w:r>
      <w:r w:rsidR="005740F6">
        <w:rPr>
          <w:lang w:val="ru-RU"/>
        </w:rPr>
        <w:t>25</w:t>
      </w:r>
      <w:r w:rsidR="008A7771">
        <w:rPr>
          <w:lang w:val="ru-RU"/>
        </w:rPr>
        <w:t xml:space="preserve"> </w:t>
      </w:r>
      <w:r w:rsidR="005740F6">
        <w:rPr>
          <w:lang w:val="ru-RU"/>
        </w:rPr>
        <w:t>сентября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202</w:t>
      </w:r>
      <w:r>
        <w:rPr>
          <w:lang w:val="ru-RU"/>
        </w:rPr>
        <w:t>3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года</w:t>
      </w:r>
      <w:r w:rsidRPr="00FD644A">
        <w:rPr>
          <w:spacing w:val="39"/>
          <w:lang w:val="ru-RU"/>
        </w:rPr>
        <w:t xml:space="preserve"> </w:t>
      </w:r>
      <w:r w:rsidRPr="00FD644A">
        <w:rPr>
          <w:lang w:val="ru-RU"/>
        </w:rPr>
        <w:t>в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10:00</w:t>
      </w:r>
      <w:r w:rsidRPr="00FD644A">
        <w:rPr>
          <w:spacing w:val="38"/>
          <w:lang w:val="ru-RU"/>
        </w:rPr>
        <w:t xml:space="preserve"> </w:t>
      </w:r>
      <w:r w:rsidRPr="00FD644A">
        <w:rPr>
          <w:lang w:val="ru-RU"/>
        </w:rPr>
        <w:t>по</w:t>
      </w:r>
      <w:r w:rsidRPr="00FD644A">
        <w:rPr>
          <w:spacing w:val="-58"/>
          <w:lang w:val="ru-RU"/>
        </w:rPr>
        <w:t xml:space="preserve"> </w:t>
      </w:r>
      <w:r w:rsidRPr="00FD644A">
        <w:rPr>
          <w:lang w:val="ru-RU"/>
        </w:rPr>
        <w:t>местному</w:t>
      </w:r>
      <w:r w:rsidRPr="00FD644A">
        <w:rPr>
          <w:spacing w:val="-2"/>
          <w:lang w:val="ru-RU"/>
        </w:rPr>
        <w:t xml:space="preserve"> </w:t>
      </w:r>
      <w:r w:rsidRPr="00FD644A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EB6640" w:rsidRPr="00FD644A" w:rsidRDefault="00EB6640" w:rsidP="00EB6640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5740F6">
        <w:rPr>
          <w:rFonts w:ascii="PT Astra Serif" w:hAnsi="PT Astra Serif"/>
          <w:spacing w:val="1"/>
          <w:sz w:val="24"/>
          <w:szCs w:val="24"/>
          <w:lang w:val="ru-RU"/>
        </w:rPr>
        <w:t>20</w:t>
      </w:r>
      <w:r w:rsidR="008A7771" w:rsidRPr="008A7771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740F6">
        <w:rPr>
          <w:rFonts w:ascii="PT Astra Serif" w:hAnsi="PT Astra Serif"/>
          <w:spacing w:val="1"/>
          <w:sz w:val="24"/>
          <w:szCs w:val="24"/>
          <w:lang w:val="ru-RU"/>
        </w:rPr>
        <w:t>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2023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5740F6">
        <w:rPr>
          <w:rFonts w:ascii="PT Astra Serif" w:hAnsi="PT Astra Serif"/>
          <w:spacing w:val="-5"/>
          <w:sz w:val="24"/>
          <w:szCs w:val="24"/>
          <w:lang w:val="ru-RU"/>
        </w:rPr>
        <w:t>2</w:t>
      </w:r>
      <w:r w:rsidR="00757A6A" w:rsidRPr="00757A6A">
        <w:rPr>
          <w:rFonts w:ascii="PT Astra Serif" w:hAnsi="PT Astra Serif"/>
          <w:spacing w:val="-5"/>
          <w:sz w:val="24"/>
          <w:szCs w:val="24"/>
          <w:lang w:val="ru-RU"/>
        </w:rPr>
        <w:t xml:space="preserve">4 </w:t>
      </w:r>
      <w:r w:rsidR="005740F6">
        <w:rPr>
          <w:rFonts w:ascii="PT Astra Serif" w:hAnsi="PT Astra Serif"/>
          <w:spacing w:val="-5"/>
          <w:sz w:val="24"/>
          <w:szCs w:val="24"/>
          <w:lang w:val="ru-RU"/>
        </w:rPr>
        <w:t>октября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</w:t>
      </w:r>
      <w:r>
        <w:rPr>
          <w:rFonts w:ascii="PT Astra Serif" w:hAnsi="PT Astra Serif"/>
          <w:sz w:val="24"/>
          <w:szCs w:val="24"/>
          <w:lang w:val="ru-RU"/>
        </w:rPr>
        <w:t>3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EB6640" w:rsidRPr="0011279D" w:rsidRDefault="00EB6640" w:rsidP="008A7771">
      <w:pPr>
        <w:pStyle w:val="TableParagraph"/>
        <w:ind w:firstLine="709"/>
        <w:rPr>
          <w:lang w:val="ru-RU"/>
        </w:rPr>
      </w:pPr>
      <w:r w:rsidRPr="0011279D">
        <w:rPr>
          <w:b/>
          <w:lang w:val="ru-RU"/>
        </w:rPr>
        <w:t>Дата и</w:t>
      </w:r>
      <w:r w:rsidRPr="0011279D">
        <w:rPr>
          <w:b/>
          <w:spacing w:val="38"/>
          <w:lang w:val="ru-RU"/>
        </w:rPr>
        <w:t xml:space="preserve"> </w:t>
      </w:r>
      <w:r w:rsidRPr="0011279D">
        <w:rPr>
          <w:b/>
          <w:lang w:val="ru-RU"/>
        </w:rPr>
        <w:t>время</w:t>
      </w:r>
      <w:r w:rsidRPr="0011279D">
        <w:rPr>
          <w:b/>
          <w:spacing w:val="40"/>
          <w:lang w:val="ru-RU"/>
        </w:rPr>
        <w:t xml:space="preserve"> </w:t>
      </w:r>
      <w:r w:rsidRPr="0011279D">
        <w:rPr>
          <w:b/>
          <w:lang w:val="ru-RU"/>
        </w:rPr>
        <w:t>проведения</w:t>
      </w:r>
      <w:r w:rsidRPr="0011279D">
        <w:rPr>
          <w:b/>
          <w:spacing w:val="37"/>
          <w:lang w:val="ru-RU"/>
        </w:rPr>
        <w:t xml:space="preserve"> </w:t>
      </w:r>
      <w:r w:rsidRPr="0011279D">
        <w:rPr>
          <w:b/>
          <w:lang w:val="ru-RU"/>
        </w:rPr>
        <w:t xml:space="preserve">аукциона: </w:t>
      </w:r>
      <w:r w:rsidR="005740F6">
        <w:rPr>
          <w:lang w:val="ru-RU"/>
        </w:rPr>
        <w:t>26 октября</w:t>
      </w:r>
      <w:r w:rsidRPr="00EB6640">
        <w:rPr>
          <w:rStyle w:val="a4"/>
          <w:rFonts w:ascii="PT Astra Serif" w:hAnsi="PT Astra Serif"/>
          <w:sz w:val="24"/>
          <w:szCs w:val="24"/>
          <w:lang w:val="ru-RU"/>
        </w:rPr>
        <w:t xml:space="preserve"> 2023</w:t>
      </w:r>
      <w:r w:rsidRPr="0011279D">
        <w:rPr>
          <w:lang w:val="ru-RU"/>
        </w:rPr>
        <w:t xml:space="preserve"> года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в</w:t>
      </w:r>
      <w:r w:rsidRPr="0011279D">
        <w:rPr>
          <w:spacing w:val="37"/>
          <w:lang w:val="ru-RU"/>
        </w:rPr>
        <w:t xml:space="preserve"> </w:t>
      </w:r>
      <w:r w:rsidRPr="0011279D">
        <w:rPr>
          <w:lang w:val="ru-RU"/>
        </w:rPr>
        <w:t>12:00 по</w:t>
      </w:r>
      <w:r w:rsidRPr="0011279D">
        <w:rPr>
          <w:spacing w:val="40"/>
          <w:lang w:val="ru-RU"/>
        </w:rPr>
        <w:t xml:space="preserve"> </w:t>
      </w:r>
      <w:r w:rsidRPr="0011279D">
        <w:rPr>
          <w:lang w:val="ru-RU"/>
        </w:rPr>
        <w:t>местному</w:t>
      </w:r>
      <w:r w:rsidRPr="0011279D">
        <w:rPr>
          <w:spacing w:val="-59"/>
          <w:lang w:val="ru-RU"/>
        </w:rPr>
        <w:t xml:space="preserve"> </w:t>
      </w:r>
      <w:r w:rsidRPr="0011279D">
        <w:rPr>
          <w:lang w:val="ru-RU"/>
        </w:rPr>
        <w:t>времени.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EB6640" w:rsidRPr="00FD644A" w:rsidRDefault="00EB6640" w:rsidP="00EB6640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EB6640" w:rsidRPr="00FD644A" w:rsidRDefault="00EB6640" w:rsidP="00EB6640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EB6640" w:rsidRPr="00FD644A" w:rsidRDefault="00EB6640" w:rsidP="00EB6640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EB6640" w:rsidRPr="00FD644A" w:rsidRDefault="00EB6640" w:rsidP="00EB6640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EB6640" w:rsidRPr="00FD644A" w:rsidRDefault="00EB6640" w:rsidP="00EB6640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  <w:t>регистрацию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форме».</w:t>
      </w:r>
    </w:p>
    <w:p w:rsidR="00EB6640" w:rsidRPr="00FD644A" w:rsidRDefault="00EB6640" w:rsidP="00EB6640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EB6640" w:rsidRPr="00FD644A" w:rsidRDefault="00EB6640" w:rsidP="00EB6640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EB6640" w:rsidRPr="00FD644A" w:rsidRDefault="00EB6640" w:rsidP="00EB6640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EB6640" w:rsidRPr="00FD644A" w:rsidRDefault="00EB6640" w:rsidP="00EB6640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EB6640" w:rsidRPr="00FD644A" w:rsidRDefault="00EB6640" w:rsidP="00EB6640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EB6640" w:rsidRPr="00FD644A" w:rsidRDefault="00EB6640" w:rsidP="00EB6640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64275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EB6640" w:rsidRPr="00FD644A" w:rsidRDefault="00EB6640" w:rsidP="00EB6640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EB6640" w:rsidRPr="00FD644A" w:rsidRDefault="00EB6640" w:rsidP="00EB6640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EB6640" w:rsidRPr="00FD644A" w:rsidRDefault="00EB6640" w:rsidP="00EB6640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EB6640" w:rsidRPr="00FD644A" w:rsidRDefault="00EB6640" w:rsidP="00EB6640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EB6640" w:rsidRPr="00FD644A" w:rsidRDefault="00EB6640" w:rsidP="00EB6640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EB6640" w:rsidRPr="00FD644A" w:rsidRDefault="00EB6640" w:rsidP="00EB6640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EB6640" w:rsidRPr="00FD644A" w:rsidRDefault="00EB6640" w:rsidP="00EB6640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EB6640" w:rsidRPr="0011279D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Продавцом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 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EB6640" w:rsidRPr="00FD644A" w:rsidRDefault="00EB6640" w:rsidP="00EB6640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 муниципального 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EB6640" w:rsidRPr="00FD644A" w:rsidRDefault="00EB6640" w:rsidP="00EB6640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EB6640" w:rsidRPr="00FD644A" w:rsidRDefault="00EB6640" w:rsidP="00EB6640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EB6640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EB6640" w:rsidRPr="00FD644A" w:rsidRDefault="00EB6640" w:rsidP="00EB6640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EB6640" w:rsidRPr="00FD644A" w:rsidRDefault="00EB6640" w:rsidP="00EB6640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EB6640" w:rsidRPr="00FD644A" w:rsidRDefault="00EB6640" w:rsidP="00EB6640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EB6640" w:rsidRPr="00FD644A" w:rsidRDefault="00EB6640" w:rsidP="00EB6640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EB6640" w:rsidRPr="00FD644A" w:rsidRDefault="00EB6640" w:rsidP="00EB6640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8BA2A" wp14:editId="03FA9875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15DC" id="Rectangle 2" o:spid="_x0000_s1026" style="position:absolute;margin-left:280.45pt;margin-top:49.2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Интернет. Продавец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Pr="00FD644A">
          <w:rPr>
            <w:rFonts w:ascii="PT Astra Serif" w:hAnsi="PT Astra Serif"/>
            <w:sz w:val="24"/>
            <w:szCs w:val="24"/>
          </w:rPr>
          <w:t>http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Pr="00FD644A">
          <w:rPr>
            <w:rFonts w:ascii="PT Astra Serif" w:hAnsi="PT Astra Serif"/>
            <w:sz w:val="24"/>
            <w:szCs w:val="24"/>
          </w:rPr>
          <w:t>roseltorg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EB6640" w:rsidRPr="00FD644A" w:rsidRDefault="00EB6640" w:rsidP="00EB6640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EB6640" w:rsidRPr="00FD644A" w:rsidRDefault="00EB6640" w:rsidP="00EB6640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 порядке в бюджет Муниципального образования Шатровский муниципальный округ Курганской области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EB6640" w:rsidRPr="00FD644A" w:rsidRDefault="00EB6640" w:rsidP="00EB6640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D76C30">
        <w:rPr>
          <w:rFonts w:ascii="PT Astra Serif" w:hAnsi="PT Astra Serif"/>
          <w:sz w:val="24"/>
          <w:szCs w:val="24"/>
        </w:rPr>
        <w:t>https</w:t>
      </w:r>
      <w:r w:rsidRPr="00D76C30">
        <w:rPr>
          <w:rFonts w:ascii="PT Astra Serif" w:hAnsi="PT Astra Serif"/>
          <w:sz w:val="24"/>
          <w:szCs w:val="24"/>
          <w:lang w:val="ru-RU"/>
        </w:rPr>
        <w:t>://</w:t>
      </w:r>
      <w:r w:rsidRPr="00D76C30">
        <w:rPr>
          <w:rFonts w:ascii="PT Astra Serif" w:hAnsi="PT Astra Serif"/>
          <w:sz w:val="24"/>
          <w:szCs w:val="24"/>
        </w:rPr>
        <w:t>shatrovskij</w:t>
      </w:r>
      <w:r w:rsidRPr="00D76C30">
        <w:rPr>
          <w:rFonts w:ascii="PT Astra Serif" w:hAnsi="PT Astra Serif"/>
          <w:sz w:val="24"/>
          <w:szCs w:val="24"/>
          <w:lang w:val="ru-RU"/>
        </w:rPr>
        <w:t>-</w:t>
      </w:r>
      <w:r w:rsidRPr="00D76C30">
        <w:rPr>
          <w:rFonts w:ascii="PT Astra Serif" w:hAnsi="PT Astra Serif"/>
          <w:sz w:val="24"/>
          <w:szCs w:val="24"/>
        </w:rPr>
        <w:t>r</w:t>
      </w:r>
      <w:r w:rsidRPr="00D76C30">
        <w:rPr>
          <w:rFonts w:ascii="PT Astra Serif" w:hAnsi="PT Astra Serif"/>
          <w:sz w:val="24"/>
          <w:szCs w:val="24"/>
          <w:lang w:val="ru-RU"/>
        </w:rPr>
        <w:t>45.</w:t>
      </w:r>
      <w:r w:rsidRPr="00D76C30">
        <w:rPr>
          <w:rFonts w:ascii="PT Astra Serif" w:hAnsi="PT Astra Serif"/>
          <w:sz w:val="24"/>
          <w:szCs w:val="24"/>
        </w:rPr>
        <w:t>gosweb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gosuslugi</w:t>
      </w:r>
      <w:r w:rsidRPr="00D76C30">
        <w:rPr>
          <w:rFonts w:ascii="PT Astra Serif" w:hAnsi="PT Astra Serif"/>
          <w:sz w:val="24"/>
          <w:szCs w:val="24"/>
          <w:lang w:val="ru-RU"/>
        </w:rPr>
        <w:t>.</w:t>
      </w:r>
      <w:r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Pr="00B94D80">
        <w:rPr>
          <w:rFonts w:ascii="PT Astra Serif" w:hAnsi="PT Astra Serif"/>
          <w:sz w:val="24"/>
          <w:szCs w:val="24"/>
          <w:lang w:val="ru-RU"/>
        </w:rPr>
        <w:t>https://www.roseltorg.ru/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EB6640" w:rsidRDefault="00EB6640" w:rsidP="00EB6640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EB6640" w:rsidRPr="00FD644A" w:rsidRDefault="00EB6640" w:rsidP="00EB6640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EB6640" w:rsidRPr="00FD644A" w:rsidRDefault="00EB6640" w:rsidP="00EB6640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Администрации Шатровского муниципального округа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9" w:history="1"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https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gosweb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gosuslugi</w:t>
        </w:r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Pr="005F0CF8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Pr="005F0CF8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EB6640" w:rsidRPr="00FD644A" w:rsidRDefault="00EB6640" w:rsidP="00EB664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EB6640" w:rsidRPr="00FD644A" w:rsidRDefault="00EB6640" w:rsidP="00EB664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EB6640" w:rsidRPr="00FD644A" w:rsidRDefault="00EB6640" w:rsidP="00EB664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+7 495 150-20-20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1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EB6640" w:rsidRPr="00FD644A" w:rsidRDefault="00EB6640" w:rsidP="00EB6640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EB6640" w:rsidRPr="00FD644A" w:rsidRDefault="00EB6640" w:rsidP="00EB6640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                  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EB6640" w:rsidRPr="00FD644A" w:rsidRDefault="00EB6640" w:rsidP="00EB6640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EB6640" w:rsidRPr="00FD644A" w:rsidRDefault="00EB6640" w:rsidP="00EB6640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EB6640" w:rsidRPr="00FD644A" w:rsidRDefault="00EB6640" w:rsidP="00EB6640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EB6640" w:rsidRPr="00FD644A" w:rsidRDefault="00EB6640" w:rsidP="00EB6640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EB6640" w:rsidRPr="00FD644A" w:rsidRDefault="00EB6640" w:rsidP="00EB6640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EB6640" w:rsidRPr="00FD644A" w:rsidRDefault="00EB6640" w:rsidP="00EB6640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EB6640" w:rsidRDefault="00EB6640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264275" w:rsidRPr="00FD644A" w:rsidRDefault="00264275" w:rsidP="00EB6640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EB6640" w:rsidRPr="00FD644A" w:rsidRDefault="00EB6640" w:rsidP="00EB6640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EB6640" w:rsidRPr="00FD644A" w:rsidRDefault="00EB6640" w:rsidP="00EB6640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EB6640" w:rsidRPr="00FD644A" w:rsidRDefault="00EB6640" w:rsidP="00EB6640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EB6640" w:rsidRPr="00FD644A" w:rsidRDefault="00EB6640" w:rsidP="00EB6640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EB6640" w:rsidRPr="00FD644A" w:rsidRDefault="00EB6640" w:rsidP="00EB6640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EB6640" w:rsidRPr="00FD644A" w:rsidRDefault="00EB6640" w:rsidP="00EB6640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EB6640" w:rsidRPr="00FD644A" w:rsidRDefault="00EB6640" w:rsidP="00EB6640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EB6640" w:rsidRPr="00FD644A" w:rsidRDefault="00EB6640" w:rsidP="00EB6640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EB6640" w:rsidRPr="00FD644A" w:rsidRDefault="00EB6640" w:rsidP="00EB6640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EB6640" w:rsidRPr="00FD644A" w:rsidRDefault="00EB6640" w:rsidP="00EB6640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EB6640" w:rsidRPr="00FD644A" w:rsidRDefault="00EB6640" w:rsidP="00EB6640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EB6640" w:rsidRPr="00FD644A" w:rsidRDefault="00EB6640" w:rsidP="00EB6640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EB6640" w:rsidRPr="00FD644A" w:rsidRDefault="00EB6640" w:rsidP="00EB6640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EB6640" w:rsidRPr="00FD644A" w:rsidRDefault="00EB6640" w:rsidP="00EB6640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EB6640" w:rsidRDefault="00EB6640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264275" w:rsidRDefault="00264275" w:rsidP="00EB6640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EB6640" w:rsidRPr="00FD644A" w:rsidRDefault="00EB6640" w:rsidP="00EB6640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1"/>
          <w:sz w:val="24"/>
          <w:szCs w:val="24"/>
          <w:lang w:val="ru-RU"/>
        </w:rPr>
        <w:t xml:space="preserve">Администрации Шатровского муниципального округа Курганской </w:t>
      </w:r>
      <w:r>
        <w:rPr>
          <w:rFonts w:ascii="PT Astra Serif" w:hAnsi="PT Astra Serif"/>
          <w:spacing w:val="1"/>
          <w:sz w:val="24"/>
          <w:szCs w:val="24"/>
          <w:lang w:val="ru-RU"/>
        </w:rPr>
        <w:lastRenderedPageBreak/>
        <w:t>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7D7369" w:rsidRDefault="00EB6640" w:rsidP="00EB6640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EB6640" w:rsidRPr="00FD644A" w:rsidRDefault="00EB6640" w:rsidP="00EB6640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FD644A" w:rsidRDefault="00EB6640" w:rsidP="00EB6640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Default="00EB6640" w:rsidP="00EB6640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EB6640" w:rsidRPr="00A658EC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EB6640" w:rsidRPr="009332E2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EB6640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EB6640" w:rsidRPr="00FD644A" w:rsidRDefault="00EB6640" w:rsidP="00EB6640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EB6640" w:rsidRPr="00FD644A" w:rsidRDefault="00EB6640" w:rsidP="00EB6640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EB6640" w:rsidRPr="00FD644A" w:rsidRDefault="00EB6640" w:rsidP="00EB6640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EB6640" w:rsidRPr="00FD644A" w:rsidRDefault="00EB6640" w:rsidP="00EB6640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EB6640" w:rsidRPr="00FD644A" w:rsidRDefault="00EB6640" w:rsidP="00EB6640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EB6640" w:rsidRPr="00FD644A" w:rsidRDefault="00EB6640" w:rsidP="00EB6640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EB6640" w:rsidRPr="00FD644A" w:rsidRDefault="00EB6640" w:rsidP="00EB6640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 w:rsidP="00EB6640">
      <w:pPr>
        <w:pStyle w:val="1"/>
        <w:tabs>
          <w:tab w:val="left" w:pos="709"/>
        </w:tabs>
        <w:spacing w:before="73"/>
        <w:ind w:right="75" w:hanging="116"/>
        <w:rPr>
          <w:rFonts w:ascii="PT Astra Serif" w:hAnsi="PT Astra Serif"/>
          <w:sz w:val="24"/>
          <w:szCs w:val="24"/>
          <w:lang w:val="ru-RU"/>
        </w:rPr>
      </w:pP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92CAD"/>
    <w:rsid w:val="00096835"/>
    <w:rsid w:val="000E5F46"/>
    <w:rsid w:val="000F466B"/>
    <w:rsid w:val="00150E45"/>
    <w:rsid w:val="001866C5"/>
    <w:rsid w:val="001F0D26"/>
    <w:rsid w:val="00264275"/>
    <w:rsid w:val="00271904"/>
    <w:rsid w:val="00295003"/>
    <w:rsid w:val="002A0220"/>
    <w:rsid w:val="002D0144"/>
    <w:rsid w:val="002D6740"/>
    <w:rsid w:val="002F4EC3"/>
    <w:rsid w:val="00373003"/>
    <w:rsid w:val="0038150F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5740F6"/>
    <w:rsid w:val="00606FF8"/>
    <w:rsid w:val="00632669"/>
    <w:rsid w:val="006661E8"/>
    <w:rsid w:val="0069241D"/>
    <w:rsid w:val="006A0812"/>
    <w:rsid w:val="006D2452"/>
    <w:rsid w:val="00710D18"/>
    <w:rsid w:val="00757A6A"/>
    <w:rsid w:val="00762E22"/>
    <w:rsid w:val="00795604"/>
    <w:rsid w:val="007C64EF"/>
    <w:rsid w:val="007D1891"/>
    <w:rsid w:val="007D4915"/>
    <w:rsid w:val="007D7369"/>
    <w:rsid w:val="00837795"/>
    <w:rsid w:val="0087350F"/>
    <w:rsid w:val="0088058E"/>
    <w:rsid w:val="008A7771"/>
    <w:rsid w:val="008C1538"/>
    <w:rsid w:val="009203B8"/>
    <w:rsid w:val="009332E2"/>
    <w:rsid w:val="00974D75"/>
    <w:rsid w:val="00983F67"/>
    <w:rsid w:val="00984F3A"/>
    <w:rsid w:val="00986AD0"/>
    <w:rsid w:val="00A00F8B"/>
    <w:rsid w:val="00A658EC"/>
    <w:rsid w:val="00A80CBC"/>
    <w:rsid w:val="00A940F6"/>
    <w:rsid w:val="00AF2C90"/>
    <w:rsid w:val="00B22968"/>
    <w:rsid w:val="00B611FD"/>
    <w:rsid w:val="00B93053"/>
    <w:rsid w:val="00BA03F0"/>
    <w:rsid w:val="00C03CA0"/>
    <w:rsid w:val="00C9202F"/>
    <w:rsid w:val="00CD544A"/>
    <w:rsid w:val="00CE1426"/>
    <w:rsid w:val="00CF2618"/>
    <w:rsid w:val="00D54446"/>
    <w:rsid w:val="00D706A3"/>
    <w:rsid w:val="00D93BED"/>
    <w:rsid w:val="00DC5E1D"/>
    <w:rsid w:val="00DE6A82"/>
    <w:rsid w:val="00E471C9"/>
    <w:rsid w:val="00E76956"/>
    <w:rsid w:val="00EA308A"/>
    <w:rsid w:val="00EB6640"/>
    <w:rsid w:val="00F00240"/>
    <w:rsid w:val="00F359EA"/>
    <w:rsid w:val="00F53E22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EB664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mailto:info@roseltorg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shatrovskij-r45.gosweb.gosuslugi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5</cp:revision>
  <dcterms:created xsi:type="dcterms:W3CDTF">2023-08-16T11:36:00Z</dcterms:created>
  <dcterms:modified xsi:type="dcterms:W3CDTF">2023-09-22T05:07:00Z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