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5F" w:rsidRPr="008640DC" w:rsidRDefault="008E505F" w:rsidP="008E50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640DC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8E505F" w:rsidRPr="008640DC" w:rsidRDefault="008E505F" w:rsidP="008E50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E505F" w:rsidRPr="008640DC" w:rsidRDefault="008E505F" w:rsidP="008E50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640DC">
        <w:rPr>
          <w:rFonts w:ascii="PT Astra Serif" w:hAnsi="PT Astra Serif"/>
          <w:b/>
          <w:sz w:val="28"/>
          <w:szCs w:val="28"/>
        </w:rPr>
        <w:t xml:space="preserve">по основным параметрам прогноза социально-экономического развития </w:t>
      </w:r>
    </w:p>
    <w:p w:rsidR="008E505F" w:rsidRPr="008640DC" w:rsidRDefault="008E505F" w:rsidP="008E50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640DC">
        <w:rPr>
          <w:rFonts w:ascii="PT Astra Serif" w:hAnsi="PT Astra Serif"/>
          <w:b/>
          <w:sz w:val="28"/>
          <w:szCs w:val="28"/>
        </w:rPr>
        <w:t>на 202</w:t>
      </w:r>
      <w:r w:rsidR="00A34453">
        <w:rPr>
          <w:rFonts w:ascii="PT Astra Serif" w:hAnsi="PT Astra Serif"/>
          <w:b/>
          <w:sz w:val="28"/>
          <w:szCs w:val="28"/>
        </w:rPr>
        <w:t>3</w:t>
      </w:r>
      <w:r w:rsidRPr="008640DC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A34453">
        <w:rPr>
          <w:rFonts w:ascii="PT Astra Serif" w:hAnsi="PT Astra Serif"/>
          <w:b/>
          <w:sz w:val="28"/>
          <w:szCs w:val="28"/>
        </w:rPr>
        <w:t>4</w:t>
      </w:r>
      <w:r w:rsidRPr="008640DC">
        <w:rPr>
          <w:rFonts w:ascii="PT Astra Serif" w:hAnsi="PT Astra Serif"/>
          <w:b/>
          <w:sz w:val="28"/>
          <w:szCs w:val="28"/>
        </w:rPr>
        <w:t>- 202</w:t>
      </w:r>
      <w:r w:rsidR="00A34453">
        <w:rPr>
          <w:rFonts w:ascii="PT Astra Serif" w:hAnsi="PT Astra Serif"/>
          <w:b/>
          <w:sz w:val="28"/>
          <w:szCs w:val="28"/>
        </w:rPr>
        <w:t>6</w:t>
      </w:r>
      <w:r w:rsidRPr="008640DC">
        <w:rPr>
          <w:rFonts w:ascii="PT Astra Serif" w:hAnsi="PT Astra Serif"/>
          <w:b/>
          <w:sz w:val="28"/>
          <w:szCs w:val="28"/>
        </w:rPr>
        <w:t xml:space="preserve"> годы</w:t>
      </w:r>
    </w:p>
    <w:p w:rsidR="008E505F" w:rsidRDefault="008E505F" w:rsidP="008E505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spellStart"/>
      <w:r w:rsidRPr="008640DC">
        <w:rPr>
          <w:rFonts w:ascii="PT Astra Serif" w:hAnsi="PT Astra Serif"/>
          <w:b/>
          <w:sz w:val="28"/>
          <w:szCs w:val="28"/>
        </w:rPr>
        <w:t>Шатровского</w:t>
      </w:r>
      <w:proofErr w:type="spellEnd"/>
      <w:r w:rsidRPr="008640D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муниципального округа</w:t>
      </w:r>
      <w:r w:rsidRPr="008640DC">
        <w:rPr>
          <w:rFonts w:ascii="PT Astra Serif" w:hAnsi="PT Astra Serif"/>
          <w:b/>
          <w:sz w:val="28"/>
          <w:szCs w:val="28"/>
        </w:rPr>
        <w:t xml:space="preserve"> Курганской области</w:t>
      </w:r>
    </w:p>
    <w:p w:rsidR="008E505F" w:rsidRDefault="008E505F" w:rsidP="008E505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E505F" w:rsidRDefault="008E505F" w:rsidP="008E505F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.Ш</w:t>
      </w:r>
      <w:proofErr w:type="gramEnd"/>
      <w:r>
        <w:rPr>
          <w:rFonts w:ascii="PT Astra Serif" w:hAnsi="PT Astra Serif"/>
          <w:sz w:val="28"/>
          <w:szCs w:val="28"/>
        </w:rPr>
        <w:t>атрово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A34453">
        <w:rPr>
          <w:rFonts w:ascii="PT Astra Serif" w:hAnsi="PT Astra Serif"/>
          <w:sz w:val="28"/>
          <w:szCs w:val="28"/>
        </w:rPr>
        <w:t xml:space="preserve">                               </w:t>
      </w:r>
      <w:r w:rsidR="00A82185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</w:t>
      </w:r>
      <w:r w:rsidR="00191516">
        <w:rPr>
          <w:rFonts w:ascii="PT Astra Serif" w:hAnsi="PT Astra Serif"/>
          <w:sz w:val="28"/>
          <w:szCs w:val="28"/>
        </w:rPr>
        <w:t>сентября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202</w:t>
      </w:r>
      <w:r w:rsidR="00A3445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</w:t>
      </w:r>
    </w:p>
    <w:p w:rsidR="008E505F" w:rsidRPr="008640DC" w:rsidRDefault="008E505F" w:rsidP="008E505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E505F" w:rsidRPr="00176AEF" w:rsidRDefault="008E505F" w:rsidP="008E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положения</w:t>
      </w:r>
    </w:p>
    <w:p w:rsidR="008E505F" w:rsidRPr="00176AE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Прогноз социально-экономического развития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 стратегического планирования и прогнозирования, который определяет основные направления развития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4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ближайшую перспективу: 202</w:t>
      </w:r>
      <w:r w:rsidR="00A344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A344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Проект прогноза включает в себя совокупность показателей, фактические их значения, достигнутые в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Шатровском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4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ожидаемые их значения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4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(оценка) и прогнозные данные на 202</w:t>
      </w:r>
      <w:r w:rsidR="00A344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A344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,  202</w:t>
      </w:r>
      <w:r w:rsidR="00A344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8E505F" w:rsidRPr="00176AE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Проект прогноза на среднесрочный период разработан на вариативной основе: базовый и консервативный. Базовый вариант прогноза на среднесрочный период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</w:r>
      <w:proofErr w:type="gram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тенденций изменения эффективности использования ресурсов</w:t>
      </w:r>
      <w:proofErr w:type="gram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Консервативный вариант прогноза на среднесрочный период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8E505F" w:rsidRPr="00176AE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прогноза социально-экономического развития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общественному обсуждению, согласованию с соответствующими структурными подразделениями Правительства Курганской области с использованием регионального сегмента системы «</w:t>
      </w:r>
      <w:proofErr w:type="gram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ГАС-Управление</w:t>
      </w:r>
      <w:proofErr w:type="gram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Курганской области и утверждается постановлением Администрации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05F" w:rsidRPr="00176AE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05F" w:rsidRPr="00176AEF" w:rsidRDefault="008E505F" w:rsidP="008E5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Оценка социально-экономической ситуации </w:t>
      </w:r>
    </w:p>
    <w:p w:rsidR="008E505F" w:rsidRPr="00176AEF" w:rsidRDefault="008E505F" w:rsidP="008E5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</w:t>
      </w:r>
      <w:proofErr w:type="spellStart"/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Шатровском</w:t>
      </w:r>
      <w:proofErr w:type="spellEnd"/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муниципальном округе</w:t>
      </w: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73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A34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073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</w:t>
      </w:r>
    </w:p>
    <w:p w:rsidR="008E505F" w:rsidRPr="00176AEF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направлена на выполнение основной и главной задачи - улучшение условий жизни населения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внимание уделялось развитию сельского хозяйства, промышленности, другим отраслям экономики, повышению инвестиционной привлекательности, развитию социальной сферы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округа представлена преимущественно сельскохозяйственными, деревообрабатывающими, металлообрабатывающими предприятиями в виде субъектов малого и среднего предпринимательства.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Малое и среднее предпринимательство занимает ведущее место в экономике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отражает общую тенденцию ее развития, охватывая все сферы экономической деятельности. На его долю приходится большая часть от общего объема произведенной и отгруженной продукции (работ, услуг), производимых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округе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3D2D42">
      <w:pPr>
        <w:tabs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На территории 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округа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на начало 202</w:t>
      </w:r>
      <w:r w:rsidR="00A34453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3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года зарегистрировано 2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40 субъектов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малого и среднего пр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едпринимательства, в том числе 43 юридических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лиц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а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, 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197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ин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д</w:t>
      </w:r>
      <w:r w:rsidR="00423D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ивидуальных предпринимателей, 29</w:t>
      </w:r>
      <w:r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8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самозанятых</w:t>
      </w:r>
      <w:proofErr w:type="spellEnd"/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граждан. </w:t>
      </w:r>
      <w:r w:rsidRPr="00CE71E1">
        <w:rPr>
          <w:rFonts w:ascii="PT Astra Serif" w:eastAsia="Times New Roman" w:hAnsi="PT Astra Serif" w:cs="Times New Roman"/>
          <w:kern w:val="2"/>
          <w:sz w:val="28"/>
          <w:szCs w:val="28"/>
          <w:lang w:eastAsia="ar-SA"/>
        </w:rPr>
        <w:t xml:space="preserve">Число субъектов малого и среднего предпринимательства в расчете на 10 </w:t>
      </w:r>
      <w:r>
        <w:rPr>
          <w:rFonts w:ascii="PT Astra Serif" w:eastAsia="Times New Roman" w:hAnsi="PT Astra Serif" w:cs="Times New Roman"/>
          <w:kern w:val="2"/>
          <w:sz w:val="28"/>
          <w:szCs w:val="28"/>
          <w:lang w:eastAsia="ar-SA"/>
        </w:rPr>
        <w:t>тыс. чел. населения составило 1</w:t>
      </w:r>
      <w:r w:rsidR="003D2D42">
        <w:rPr>
          <w:rFonts w:ascii="PT Astra Serif" w:eastAsia="Times New Roman" w:hAnsi="PT Astra Serif" w:cs="Times New Roman"/>
          <w:kern w:val="2"/>
          <w:sz w:val="28"/>
          <w:szCs w:val="28"/>
          <w:lang w:eastAsia="ar-SA"/>
        </w:rPr>
        <w:t>65,09</w:t>
      </w:r>
      <w:r w:rsidRPr="00CE71E1">
        <w:rPr>
          <w:rFonts w:ascii="PT Astra Serif" w:eastAsia="Times New Roman" w:hAnsi="PT Astra Serif" w:cs="Times New Roman"/>
          <w:kern w:val="2"/>
          <w:sz w:val="28"/>
          <w:szCs w:val="28"/>
          <w:lang w:eastAsia="ar-SA"/>
        </w:rPr>
        <w:t xml:space="preserve"> ед. </w:t>
      </w:r>
      <w:r w:rsidRPr="00CE71E1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Предпринимательской деятельностью охвачены практически все отрасли экономики, в них занято более 1200 работающих.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 всех предприятий и организаций составила 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25%.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рамках муниципальной  программы «О развитии и поддержке малого и среднего предпринимательства в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Шатровском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районе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на 2017-2022 годы» создана система комплексной информационной, обучающей, организационной, консультационной, имущественной и финансовой поддержки.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занятых в сфере предпринимательства в общей численности занятых в экономике составляет 2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%. За 202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было создано и легализовано в малом бизнесе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 мест. Максимальная концентрация субъектов пре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дпринимательства сосредоточена 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proofErr w:type="spellStart"/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Start"/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</w:t>
      </w:r>
      <w:proofErr w:type="gram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атров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с.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Мехонско</w:t>
      </w:r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proofErr w:type="spellStart"/>
      <w:r w:rsidR="003D2D42">
        <w:rPr>
          <w:rFonts w:ascii="PT Astra Serif" w:eastAsia="Times New Roman" w:hAnsi="PT Astra Serif" w:cs="Times New Roman"/>
          <w:sz w:val="28"/>
          <w:szCs w:val="28"/>
          <w:lang w:eastAsia="ru-RU"/>
        </w:rPr>
        <w:t>с.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Барино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8E505F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</w:pPr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С целью оказания методической помощи предпринимателям </w:t>
      </w:r>
      <w:r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>округа</w:t>
      </w:r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 осуществляет работу информационно-консультационный центр. В  202</w:t>
      </w:r>
      <w:r w:rsidR="003D2D42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>2</w:t>
      </w:r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 году  услугами информационно-консультационного центра  при Администрации </w:t>
      </w:r>
      <w:proofErr w:type="spellStart"/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>Шатровского</w:t>
      </w:r>
      <w:proofErr w:type="spellEnd"/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 </w:t>
      </w:r>
      <w:r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>муниципального округа</w:t>
      </w:r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 воспользовались 7</w:t>
      </w:r>
      <w:r w:rsidR="003D2D42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>6</w:t>
      </w:r>
      <w:r w:rsidRPr="00CE71E1">
        <w:rPr>
          <w:rFonts w:ascii="PT Astra Serif" w:eastAsia="Lucida Sans Unicode" w:hAnsi="PT Astra Serif" w:cs="Arial"/>
          <w:kern w:val="1"/>
          <w:sz w:val="28"/>
          <w:szCs w:val="28"/>
          <w:lang w:eastAsia="ar-SA"/>
        </w:rPr>
        <w:t xml:space="preserve"> юридических  и  физических лиц.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округе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постоянно  работает приемная общественного помощника уполномоченного по защите прав предпринимателей в Курганской области, куда может обратиться каждый предприниматель по различным вопросам своей деятельности.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Ежек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вартально проводятся заседания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Совета по улучшению инвестиционного климата и развитию малого и среднего предпринимательства на территории 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мере необходимости для руководителей и бухгалтеров малых и средних предприятий, индивидуальных предпринимателей проводятся семинары-совещания с участием представителей контрольных надзорных  органов, власти, банковских структур, представителей органов исполнительной власти и Администрации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Правительством Курганской области, Инвестиционным агентством Курганской области Курганским региональным отделением Общероссийская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общественная организация малого и среднего предпринимательства «Опора России», в целях популяризации предпринимательства, проведен Форум 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ВКубе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в работе которого приняли участие представители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бизнес-сообщества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Default="00A23B1A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2022</w:t>
      </w:r>
      <w:r w:rsidR="008E50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в рамках предоставления социальных контрактов на развитие личного подсобного хозяйства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предоставление услуг в различных сферах экономики 63 человека получили поддержку на общую сумму 12500 тыс. рублей и зарегистрировались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самозанятыми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дированием лизинга воспользовалось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хозяйств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общую сумму 1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рублей.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Микрозаймы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оформило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хозяйств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сумму 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0,835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млн. рублей.</w:t>
      </w:r>
    </w:p>
    <w:p w:rsidR="008E505F" w:rsidRPr="001007B8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Поручительством Гарантийного фонда на сумму 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1,75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 воспользовал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индивидуальны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предпринимател</w:t>
      </w:r>
      <w:r w:rsidR="00DA57B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Сегодня бизнес – это основной инвестор, поэтому  задача Администрации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создать комфортные условия для работы предпринимателей и благоприятный инвестиционный климат, направленный на повышение эконом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ической привлекательности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сайте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размещен </w:t>
      </w:r>
      <w:r w:rsidRPr="00C415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План комплексного развития территории </w:t>
      </w:r>
      <w:proofErr w:type="spellStart"/>
      <w:r w:rsidRPr="00C41509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415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на 2019-2024 годы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удобства и пользования внесены  сведения о градостроительной документации в Федеральную государственную информационную систему территориального планирования, создана и опубликована интерактивная карта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указанием градостроительных зон и градостроительных регламентов. Действуют Административные регламенты в сфере земельно-имущественных отношений и в сфере градостроительства, предусматривающие порядок и сроки проведения определенных административных процедур (выделение земельных участков, оформление разрешительной документации на строительство, выдача градостроительного плана и др.).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размещения животноводческих ферм, других производственных объектов, на территории восьми сельских поселений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в производственных зонах дополнительно определены  15 свободных земельных участков, информация о которых также размещена в блоке «Инвестиционный портал».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промышленной отрасли объем произведенной продукции в фактических ценах составил 5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36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млн. рублей, что на 1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 больше уровня 202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 Предприятия «Металлист» и «Метиз-комплект» за прошедший год произвели и отгрузили продукции на сумму 1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92126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что выше показателя 202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1 года на 1,6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раза. На предприятиях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заняты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7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человек, среднемесячная зарплата составляет 2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A01865">
        <w:rPr>
          <w:rFonts w:ascii="PT Astra Serif" w:eastAsia="Times New Roman" w:hAnsi="PT Astra Serif" w:cs="Times New Roman"/>
          <w:sz w:val="28"/>
          <w:szCs w:val="28"/>
          <w:lang w:eastAsia="ru-RU"/>
        </w:rPr>
        <w:t>460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рублей. ООО ПЛХО «Импульс» отгрузило продукции по итогам 202</w:t>
      </w:r>
      <w:r w:rsidR="009D248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3</w:t>
      </w:r>
      <w:r w:rsidR="009D2487">
        <w:rPr>
          <w:rFonts w:ascii="PT Astra Serif" w:eastAsia="Times New Roman" w:hAnsi="PT Astra Serif" w:cs="Times New Roman"/>
          <w:sz w:val="28"/>
          <w:szCs w:val="28"/>
          <w:lang w:eastAsia="ru-RU"/>
        </w:rPr>
        <w:t>37 060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что выше уровня 202</w:t>
      </w:r>
      <w:r w:rsidR="009D2487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9D2487">
        <w:rPr>
          <w:rFonts w:ascii="PT Astra Serif" w:eastAsia="Times New Roman" w:hAnsi="PT Astra Serif" w:cs="Times New Roman"/>
          <w:sz w:val="28"/>
          <w:szCs w:val="28"/>
          <w:lang w:eastAsia="ru-RU"/>
        </w:rPr>
        <w:t>на 105%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ООО 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Мехонский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леспромхоз» </w:t>
      </w:r>
      <w:r w:rsidR="009D2487">
        <w:rPr>
          <w:rFonts w:ascii="PT Astra Serif" w:eastAsia="Times New Roman" w:hAnsi="PT Astra Serif" w:cs="Times New Roman"/>
          <w:sz w:val="28"/>
          <w:szCs w:val="28"/>
          <w:lang w:eastAsia="ru-RU"/>
        </w:rPr>
        <w:t>отгрузили продукции на сумму 5,1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рублей. Постепенно наращивают объемы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производства по выпечке мелкоштучных хлебобулочных изделий в отрасли пищевой и перерабатывающей промышленности СППК «Союз».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Инвестиционные вложения в промышленную отрасль округа в 202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составили 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8,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9 млн. рублей.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связи со сложившейся обстановкой и политикой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импортозамещения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202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промышленные предприятия планируют увеличить темпы роста промышленного производства, привлечь инвестиции с целью обновления основных сре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оизводства.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средствах массовой информации и на официальном  сайте Администрации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социальных сетях  регулярно публикуются материалы по актуальным вопросам ведения бизнеса.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только сбалансированность бюджета, планирование его с определением четких приоритетов и эффективности его использования, но и привлечение инвестиций в экономику является одной из стратегических задач Администрации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>По данным органов статистики объем инвестиций в основной капитал (за исключением бюджетных средств) в расчете на одного жителя в  202</w:t>
      </w:r>
      <w:r w:rsidR="00A82185"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 составил </w:t>
      </w:r>
      <w:r w:rsidR="00A82185"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>1 279</w:t>
      </w: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A82185"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>0  руб. (в 202</w:t>
      </w:r>
      <w:r w:rsidR="00A82185"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значение данного показателя составило </w:t>
      </w:r>
      <w:r w:rsidR="00A82185"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>4 376,00</w:t>
      </w:r>
      <w:r w:rsidRP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руб.).</w:t>
      </w:r>
      <w:r w:rsidR="00A821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202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реализовано 13 инвестиционных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проектов, сумма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инвестиций составила 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269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рублей, создано 2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рабочих мест.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202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продолжается реализация 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 проектов, в рамках которых будет создано 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39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их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мест с общим объемом инвестиций 3</w:t>
      </w:r>
      <w:r w:rsidR="00AE55A0">
        <w:rPr>
          <w:rFonts w:ascii="PT Astra Serif" w:eastAsia="Times New Roman" w:hAnsi="PT Astra Serif" w:cs="Times New Roman"/>
          <w:sz w:val="28"/>
          <w:szCs w:val="28"/>
          <w:lang w:eastAsia="ru-RU"/>
        </w:rPr>
        <w:t>37,7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 млн. рублей.</w:t>
      </w:r>
    </w:p>
    <w:p w:rsidR="008E505F" w:rsidRPr="00CE71E1" w:rsidRDefault="008E505F" w:rsidP="008E505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Немаловажная роль отводится одному из главных направлений в работе Администрации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совершенствованию земельных отношений.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пополнении бюджета существенная роль отводится распоряжению муниципальным имуществом и земельными ресурсами на территории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контролю за</w:t>
      </w:r>
      <w:proofErr w:type="gram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их использованием. </w:t>
      </w:r>
    </w:p>
    <w:p w:rsidR="008E505F" w:rsidRDefault="008E505F" w:rsidP="008E505F">
      <w:pPr>
        <w:spacing w:after="0" w:line="240" w:lineRule="auto"/>
        <w:ind w:firstLine="72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E71E1">
        <w:rPr>
          <w:rFonts w:ascii="PT Astra Serif" w:eastAsia="Calibri" w:hAnsi="PT Astra Serif" w:cs="Times New Roman"/>
          <w:sz w:val="28"/>
          <w:szCs w:val="28"/>
        </w:rPr>
        <w:t>В 202</w:t>
      </w:r>
      <w:r w:rsidR="00471E99">
        <w:rPr>
          <w:rFonts w:ascii="PT Astra Serif" w:eastAsia="Calibri" w:hAnsi="PT Astra Serif" w:cs="Times New Roman"/>
          <w:sz w:val="28"/>
          <w:szCs w:val="28"/>
        </w:rPr>
        <w:t>2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году Администрацией </w:t>
      </w:r>
      <w:proofErr w:type="spellStart"/>
      <w:r w:rsidRPr="00CE71E1">
        <w:rPr>
          <w:rFonts w:ascii="PT Astra Serif" w:eastAsia="Calibri" w:hAnsi="PT Astra Serif" w:cs="Times New Roman"/>
          <w:sz w:val="28"/>
          <w:szCs w:val="28"/>
        </w:rPr>
        <w:t>Шатровского</w:t>
      </w:r>
      <w:proofErr w:type="spellEnd"/>
      <w:r w:rsidRPr="00CE71E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71E99">
        <w:rPr>
          <w:rFonts w:ascii="PT Astra Serif" w:eastAsia="Calibri" w:hAnsi="PT Astra Serif" w:cs="Times New Roman"/>
          <w:sz w:val="28"/>
          <w:szCs w:val="28"/>
        </w:rPr>
        <w:t>округа заключено 58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договор</w:t>
      </w:r>
      <w:r>
        <w:rPr>
          <w:rFonts w:ascii="PT Astra Serif" w:eastAsia="Calibri" w:hAnsi="PT Astra Serif" w:cs="Times New Roman"/>
          <w:sz w:val="28"/>
          <w:szCs w:val="28"/>
        </w:rPr>
        <w:t xml:space="preserve">ов 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аренды на земельные участки, в аренду передано </w:t>
      </w:r>
      <w:r w:rsidR="00471E99">
        <w:rPr>
          <w:rFonts w:ascii="PT Astra Serif" w:eastAsia="Calibri" w:hAnsi="PT Astra Serif" w:cs="Times New Roman"/>
          <w:sz w:val="28"/>
          <w:szCs w:val="28"/>
        </w:rPr>
        <w:t>2313,91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га</w:t>
      </w:r>
      <w:r>
        <w:rPr>
          <w:rFonts w:ascii="PT Astra Serif" w:eastAsia="Calibri" w:hAnsi="PT Astra Serif" w:cs="Times New Roman"/>
          <w:sz w:val="28"/>
          <w:szCs w:val="28"/>
        </w:rPr>
        <w:t xml:space="preserve">, в том числе </w:t>
      </w:r>
      <w:r w:rsidR="00471E99">
        <w:rPr>
          <w:rFonts w:ascii="PT Astra Serif" w:eastAsia="Calibri" w:hAnsi="PT Astra Serif" w:cs="Times New Roman"/>
          <w:sz w:val="28"/>
          <w:szCs w:val="28"/>
        </w:rPr>
        <w:t>44</w:t>
      </w:r>
      <w:r>
        <w:rPr>
          <w:rFonts w:ascii="PT Astra Serif" w:eastAsia="Calibri" w:hAnsi="PT Astra Serif" w:cs="Times New Roman"/>
          <w:sz w:val="28"/>
          <w:szCs w:val="28"/>
        </w:rPr>
        <w:t xml:space="preserve"> договора аренды на земельные участки из земель сельскохозяйственного назначения, общей площадью </w:t>
      </w:r>
      <w:r w:rsidR="00471E99">
        <w:rPr>
          <w:rFonts w:ascii="PT Astra Serif" w:eastAsia="Calibri" w:hAnsi="PT Astra Serif" w:cs="Times New Roman"/>
          <w:sz w:val="28"/>
          <w:szCs w:val="28"/>
        </w:rPr>
        <w:t>2311,81</w:t>
      </w:r>
      <w:r>
        <w:rPr>
          <w:rFonts w:ascii="PT Astra Serif" w:eastAsia="Calibri" w:hAnsi="PT Astra Serif" w:cs="Times New Roman"/>
          <w:sz w:val="28"/>
          <w:szCs w:val="28"/>
        </w:rPr>
        <w:t>га.</w:t>
      </w:r>
    </w:p>
    <w:p w:rsidR="008E505F" w:rsidRPr="00CE71E1" w:rsidRDefault="008E505F" w:rsidP="008E505F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Заключено 1</w:t>
      </w:r>
      <w:r w:rsidR="00A221F9">
        <w:rPr>
          <w:rFonts w:ascii="PT Astra Serif" w:eastAsia="Calibri" w:hAnsi="PT Astra Serif" w:cs="Times New Roman"/>
          <w:sz w:val="28"/>
          <w:szCs w:val="28"/>
        </w:rPr>
        <w:t>7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договоров купли-продажи земельных участков, продано в частную собственность 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="00A221F9">
        <w:rPr>
          <w:rFonts w:ascii="PT Astra Serif" w:eastAsia="Calibri" w:hAnsi="PT Astra Serif" w:cs="Times New Roman"/>
          <w:sz w:val="28"/>
          <w:szCs w:val="28"/>
        </w:rPr>
        <w:t>,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га, в том числе передано под ИЖС в аренду </w:t>
      </w:r>
      <w:r w:rsidR="00A221F9">
        <w:rPr>
          <w:rFonts w:ascii="PT Astra Serif" w:eastAsia="Calibri" w:hAnsi="PT Astra Serif" w:cs="Times New Roman"/>
          <w:sz w:val="28"/>
          <w:szCs w:val="28"/>
        </w:rPr>
        <w:t>4 земельных участка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, площадью </w:t>
      </w:r>
      <w:r>
        <w:rPr>
          <w:rFonts w:ascii="PT Astra Serif" w:eastAsia="Calibri" w:hAnsi="PT Astra Serif" w:cs="Times New Roman"/>
          <w:sz w:val="28"/>
          <w:szCs w:val="28"/>
        </w:rPr>
        <w:t>0,</w:t>
      </w:r>
      <w:r w:rsidR="00A221F9">
        <w:rPr>
          <w:rFonts w:ascii="PT Astra Serif" w:eastAsia="Calibri" w:hAnsi="PT Astra Serif" w:cs="Times New Roman"/>
          <w:sz w:val="28"/>
          <w:szCs w:val="28"/>
        </w:rPr>
        <w:t>51</w:t>
      </w:r>
      <w:r w:rsidRPr="00CE71E1">
        <w:rPr>
          <w:rFonts w:ascii="PT Astra Serif" w:eastAsia="Calibri" w:hAnsi="PT Astra Serif" w:cs="Times New Roman"/>
          <w:sz w:val="28"/>
          <w:szCs w:val="28"/>
        </w:rPr>
        <w:t>га</w:t>
      </w:r>
      <w:r>
        <w:rPr>
          <w:rFonts w:ascii="PT Astra Serif" w:eastAsia="Calibri" w:hAnsi="PT Astra Serif" w:cs="Times New Roman"/>
          <w:sz w:val="28"/>
          <w:szCs w:val="28"/>
        </w:rPr>
        <w:t>;</w:t>
      </w:r>
      <w:r w:rsidRPr="00CE71E1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 xml:space="preserve">под личное подсобное хозяйство – </w:t>
      </w:r>
      <w:r w:rsidR="00A221F9">
        <w:rPr>
          <w:rFonts w:ascii="PT Astra Serif" w:eastAsia="Calibri" w:hAnsi="PT Astra Serif" w:cs="Times New Roman"/>
          <w:sz w:val="28"/>
          <w:szCs w:val="28"/>
        </w:rPr>
        <w:t>3 земельных участка</w:t>
      </w:r>
      <w:r>
        <w:rPr>
          <w:rFonts w:ascii="PT Astra Serif" w:eastAsia="Calibri" w:hAnsi="PT Astra Serif" w:cs="Times New Roman"/>
          <w:sz w:val="28"/>
          <w:szCs w:val="28"/>
        </w:rPr>
        <w:t xml:space="preserve">, площадью </w:t>
      </w:r>
      <w:r w:rsidR="00A221F9">
        <w:rPr>
          <w:rFonts w:ascii="PT Astra Serif" w:eastAsia="Calibri" w:hAnsi="PT Astra Serif" w:cs="Times New Roman"/>
          <w:sz w:val="28"/>
          <w:szCs w:val="28"/>
        </w:rPr>
        <w:t>0,42</w:t>
      </w:r>
      <w:r>
        <w:rPr>
          <w:rFonts w:ascii="PT Astra Serif" w:eastAsia="Calibri" w:hAnsi="PT Astra Serif" w:cs="Times New Roman"/>
          <w:sz w:val="28"/>
          <w:szCs w:val="28"/>
        </w:rPr>
        <w:t xml:space="preserve"> га.</w:t>
      </w:r>
    </w:p>
    <w:p w:rsidR="008E505F" w:rsidRDefault="008E505F" w:rsidP="008E505F">
      <w:pPr>
        <w:spacing w:after="0" w:line="240" w:lineRule="auto"/>
        <w:ind w:firstLine="72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рамках проекта «Русская мечта. Курганская область зовет!» безвозмездно в собственность получил</w:t>
      </w:r>
      <w:r w:rsidR="000813BD">
        <w:rPr>
          <w:rFonts w:ascii="PT Astra Serif" w:eastAsia="Calibri" w:hAnsi="PT Astra Serif" w:cs="Times New Roman"/>
          <w:sz w:val="28"/>
          <w:szCs w:val="28"/>
        </w:rPr>
        <w:t>о</w:t>
      </w:r>
      <w:r>
        <w:rPr>
          <w:rFonts w:ascii="PT Astra Serif" w:eastAsia="Calibri" w:hAnsi="PT Astra Serif" w:cs="Times New Roman"/>
          <w:sz w:val="28"/>
          <w:szCs w:val="28"/>
        </w:rPr>
        <w:t xml:space="preserve"> землю сельскохозяйственного назначения площадью </w:t>
      </w:r>
      <w:r w:rsidR="000813BD">
        <w:rPr>
          <w:rFonts w:ascii="PT Astra Serif" w:eastAsia="Calibri" w:hAnsi="PT Astra Serif" w:cs="Times New Roman"/>
          <w:sz w:val="28"/>
          <w:szCs w:val="28"/>
        </w:rPr>
        <w:t>100</w:t>
      </w:r>
      <w:r>
        <w:rPr>
          <w:rFonts w:ascii="PT Astra Serif" w:eastAsia="Calibri" w:hAnsi="PT Astra Serif" w:cs="Times New Roman"/>
          <w:sz w:val="28"/>
          <w:szCs w:val="28"/>
        </w:rPr>
        <w:t xml:space="preserve"> га </w:t>
      </w:r>
      <w:r w:rsidR="000813BD">
        <w:rPr>
          <w:rFonts w:ascii="PT Astra Serif" w:eastAsia="Calibri" w:hAnsi="PT Astra Serif" w:cs="Times New Roman"/>
          <w:sz w:val="28"/>
          <w:szCs w:val="28"/>
        </w:rPr>
        <w:t>еще одно</w:t>
      </w:r>
      <w:r>
        <w:rPr>
          <w:rFonts w:ascii="PT Astra Serif" w:eastAsia="Calibri" w:hAnsi="PT Astra Serif" w:cs="Times New Roman"/>
          <w:sz w:val="28"/>
          <w:szCs w:val="28"/>
        </w:rPr>
        <w:t xml:space="preserve"> крестьянск</w:t>
      </w:r>
      <w:r w:rsidR="000813BD">
        <w:rPr>
          <w:rFonts w:ascii="PT Astra Serif" w:eastAsia="Calibri" w:hAnsi="PT Astra Serif" w:cs="Times New Roman"/>
          <w:sz w:val="28"/>
          <w:szCs w:val="28"/>
        </w:rPr>
        <w:t>ое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813BD">
        <w:rPr>
          <w:rFonts w:ascii="PT Astra Serif" w:eastAsia="Calibri" w:hAnsi="PT Astra Serif" w:cs="Times New Roman"/>
          <w:sz w:val="28"/>
          <w:szCs w:val="28"/>
        </w:rPr>
        <w:t>(</w:t>
      </w:r>
      <w:r>
        <w:rPr>
          <w:rFonts w:ascii="PT Astra Serif" w:eastAsia="Calibri" w:hAnsi="PT Astra Serif" w:cs="Times New Roman"/>
          <w:sz w:val="28"/>
          <w:szCs w:val="28"/>
        </w:rPr>
        <w:t>фермерск</w:t>
      </w:r>
      <w:r w:rsidR="000813BD">
        <w:rPr>
          <w:rFonts w:ascii="PT Astra Serif" w:eastAsia="Calibri" w:hAnsi="PT Astra Serif" w:cs="Times New Roman"/>
          <w:sz w:val="28"/>
          <w:szCs w:val="28"/>
        </w:rPr>
        <w:t>ое)</w:t>
      </w:r>
      <w:r>
        <w:rPr>
          <w:rFonts w:ascii="PT Astra Serif" w:eastAsia="Calibri" w:hAnsi="PT Astra Serif" w:cs="Times New Roman"/>
          <w:sz w:val="28"/>
          <w:szCs w:val="28"/>
        </w:rPr>
        <w:t xml:space="preserve"> хозяйств</w:t>
      </w:r>
      <w:r w:rsidR="000813BD">
        <w:rPr>
          <w:rFonts w:ascii="PT Astra Serif" w:eastAsia="Calibri" w:hAnsi="PT Astra Serif" w:cs="Times New Roman"/>
          <w:sz w:val="28"/>
          <w:szCs w:val="28"/>
        </w:rPr>
        <w:t>о</w:t>
      </w:r>
      <w:r>
        <w:rPr>
          <w:rFonts w:ascii="PT Astra Serif" w:eastAsia="Calibri" w:hAnsi="PT Astra Serif" w:cs="Times New Roman"/>
          <w:sz w:val="28"/>
          <w:szCs w:val="28"/>
        </w:rPr>
        <w:t>, две семьи получили 1 га для ведения личного подсобного хозяйства.</w:t>
      </w:r>
      <w:r w:rsidR="00D6296D">
        <w:rPr>
          <w:rFonts w:ascii="PT Astra Serif" w:eastAsia="Calibri" w:hAnsi="PT Astra Serif" w:cs="Times New Roman"/>
          <w:sz w:val="28"/>
          <w:szCs w:val="28"/>
        </w:rPr>
        <w:t xml:space="preserve"> В настоящее время земля предоставлена 7 КФХ общей площадью 588 га.</w:t>
      </w:r>
    </w:p>
    <w:p w:rsidR="008E505F" w:rsidRDefault="008E505F" w:rsidP="008E505F">
      <w:pPr>
        <w:spacing w:after="0" w:line="240" w:lineRule="auto"/>
        <w:ind w:firstLine="72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Заключены договоры аренды на нежилые помещения по 8 объектам муниципальной собственности общей площадью 145,6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кв.м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8E505F" w:rsidRDefault="008E505F" w:rsidP="008E505F">
      <w:pPr>
        <w:spacing w:after="0" w:line="240" w:lineRule="auto"/>
        <w:ind w:firstLine="72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A2D6F">
        <w:rPr>
          <w:rFonts w:ascii="PT Astra Serif" w:eastAsia="Calibri" w:hAnsi="PT Astra Serif" w:cs="Times New Roman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</w:t>
      </w:r>
      <w:proofErr w:type="spellStart"/>
      <w:r w:rsidRPr="004A2D6F">
        <w:rPr>
          <w:rFonts w:ascii="PT Astra Serif" w:eastAsia="Calibri" w:hAnsi="PT Astra Serif" w:cs="Times New Roman"/>
          <w:sz w:val="28"/>
          <w:szCs w:val="28"/>
        </w:rPr>
        <w:t>Шатровского</w:t>
      </w:r>
      <w:proofErr w:type="spellEnd"/>
      <w:r w:rsidRPr="004A2D6F">
        <w:rPr>
          <w:rFonts w:ascii="PT Astra Serif" w:eastAsia="Calibri" w:hAnsi="PT Astra Serif" w:cs="Times New Roman"/>
          <w:sz w:val="28"/>
          <w:szCs w:val="28"/>
        </w:rPr>
        <w:t xml:space="preserve"> муниципального округа в 202</w:t>
      </w:r>
      <w:r w:rsidR="004A2D6F" w:rsidRPr="004A2D6F">
        <w:rPr>
          <w:rFonts w:ascii="PT Astra Serif" w:eastAsia="Calibri" w:hAnsi="PT Astra Serif" w:cs="Times New Roman"/>
          <w:sz w:val="28"/>
          <w:szCs w:val="28"/>
        </w:rPr>
        <w:t>2</w:t>
      </w:r>
      <w:r w:rsidRPr="004A2D6F">
        <w:rPr>
          <w:rFonts w:ascii="PT Astra Serif" w:eastAsia="Calibri" w:hAnsi="PT Astra Serif" w:cs="Times New Roman"/>
          <w:sz w:val="28"/>
          <w:szCs w:val="28"/>
        </w:rPr>
        <w:t>году составила 7</w:t>
      </w:r>
      <w:r w:rsidR="004A2D6F" w:rsidRPr="004A2D6F">
        <w:rPr>
          <w:rFonts w:ascii="PT Astra Serif" w:eastAsia="Calibri" w:hAnsi="PT Astra Serif" w:cs="Times New Roman"/>
          <w:sz w:val="28"/>
          <w:szCs w:val="28"/>
        </w:rPr>
        <w:t>9</w:t>
      </w:r>
      <w:r w:rsidRPr="004A2D6F">
        <w:rPr>
          <w:rFonts w:ascii="PT Astra Serif" w:eastAsia="Calibri" w:hAnsi="PT Astra Serif" w:cs="Times New Roman"/>
          <w:sz w:val="28"/>
          <w:szCs w:val="28"/>
        </w:rPr>
        <w:t>,</w:t>
      </w:r>
      <w:r w:rsidR="004A2D6F" w:rsidRPr="004A2D6F">
        <w:rPr>
          <w:rFonts w:ascii="PT Astra Serif" w:eastAsia="Calibri" w:hAnsi="PT Astra Serif" w:cs="Times New Roman"/>
          <w:sz w:val="28"/>
          <w:szCs w:val="28"/>
        </w:rPr>
        <w:t>3</w:t>
      </w:r>
      <w:r w:rsidRPr="004A2D6F">
        <w:rPr>
          <w:rFonts w:ascii="PT Astra Serif" w:eastAsia="Calibri" w:hAnsi="PT Astra Serif" w:cs="Times New Roman"/>
          <w:sz w:val="28"/>
          <w:szCs w:val="28"/>
        </w:rPr>
        <w:t>0% против 7</w:t>
      </w:r>
      <w:r w:rsidR="004A2D6F" w:rsidRPr="004A2D6F">
        <w:rPr>
          <w:rFonts w:ascii="PT Astra Serif" w:eastAsia="Calibri" w:hAnsi="PT Astra Serif" w:cs="Times New Roman"/>
          <w:sz w:val="28"/>
          <w:szCs w:val="28"/>
        </w:rPr>
        <w:t>4,70</w:t>
      </w:r>
      <w:r w:rsidRPr="004A2D6F">
        <w:rPr>
          <w:rFonts w:ascii="PT Astra Serif" w:eastAsia="Calibri" w:hAnsi="PT Astra Serif" w:cs="Times New Roman"/>
          <w:sz w:val="28"/>
          <w:szCs w:val="28"/>
        </w:rPr>
        <w:t>% в 202</w:t>
      </w:r>
      <w:r w:rsidR="004A2D6F" w:rsidRPr="004A2D6F">
        <w:rPr>
          <w:rFonts w:ascii="PT Astra Serif" w:eastAsia="Calibri" w:hAnsi="PT Astra Serif" w:cs="Times New Roman"/>
          <w:sz w:val="28"/>
          <w:szCs w:val="28"/>
        </w:rPr>
        <w:t>1</w:t>
      </w:r>
      <w:r w:rsidRPr="004A2D6F">
        <w:rPr>
          <w:rFonts w:ascii="PT Astra Serif" w:eastAsia="Calibri" w:hAnsi="PT Astra Serif" w:cs="Times New Roman"/>
          <w:sz w:val="28"/>
          <w:szCs w:val="28"/>
        </w:rPr>
        <w:t xml:space="preserve"> году.</w:t>
      </w:r>
    </w:p>
    <w:p w:rsidR="008E505F" w:rsidRPr="00CE71E1" w:rsidRDefault="008E505F" w:rsidP="008E505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 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пополнения бюджета сельских поселений на территории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проводились мероприятия по земельному муниципальному контролю. В 202</w:t>
      </w:r>
      <w:r w:rsidR="00C2589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году проведено </w:t>
      </w:r>
      <w:r w:rsidR="00C25898">
        <w:rPr>
          <w:rFonts w:ascii="PT Astra Serif" w:eastAsia="Times New Roman" w:hAnsi="PT Astra Serif" w:cs="Times New Roman"/>
          <w:sz w:val="28"/>
          <w:szCs w:val="28"/>
          <w:lang w:eastAsia="ru-RU"/>
        </w:rPr>
        <w:t>39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проверок.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24"/>
          <w:sz w:val="28"/>
          <w:szCs w:val="28"/>
          <w:lang w:eastAsia="ar-SA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proofErr w:type="spellStart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Шатровский</w:t>
      </w:r>
      <w:proofErr w:type="spellEnd"/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муниципальный округ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является преимущественно сельскохозяйственным. 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Производством сельскохозяй</w:t>
      </w:r>
      <w:r w:rsidR="00C25898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ственной продукции занимаются 10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сельскохозяйственных предприятий и 2</w:t>
      </w:r>
      <w:r w:rsidR="00C25898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8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крестьянских (фермерских) хозяйств, около 7 тысяч семей ведут личные подсобные хозяйства.  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        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 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Посевная площадь во всех категориях хозяйств 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в 202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2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году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составила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9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819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га,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из них яровые культуры размещены на площади 4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8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656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га.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24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Под посев 202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2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года хозяйствами всех форм собственности было подготовлено 3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тыс. га зяби и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9,2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га п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аров, в результате все зерновые к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ультуры были размещены только по зяби и парам.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24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         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В летний период хозяйствами все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х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форм собственности проведена обработка посевов против вредителей и болезней на площади 4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834 гектара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.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Внесено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5 978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 в физическом весе минераль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ных удобрений.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Высеяно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10430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 семян зерновых и зернобобовых культур из них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90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% кондиционных. Элитных семян высеяно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1626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 на площади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7638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гектаров.</w:t>
      </w:r>
      <w:r w:rsidRPr="00CE71E1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24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          В 202</w:t>
      </w:r>
      <w:r w:rsidR="00C25898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2</w:t>
      </w: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году введено в оборот </w:t>
      </w:r>
      <w:proofErr w:type="gramStart"/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неиспользованной</w:t>
      </w:r>
      <w:proofErr w:type="gramEnd"/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пашни-7</w:t>
      </w:r>
      <w:r w:rsidR="00C25898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93</w:t>
      </w: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 xml:space="preserve"> га, в этом году введено еще 5</w:t>
      </w:r>
      <w:r w:rsidR="00C25898"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3</w:t>
      </w:r>
      <w:r>
        <w:rPr>
          <w:rFonts w:ascii="PT Astra Serif" w:eastAsia="Calibri" w:hAnsi="PT Astra Serif" w:cs="Arial"/>
          <w:kern w:val="24"/>
          <w:sz w:val="28"/>
          <w:szCs w:val="28"/>
          <w:lang w:eastAsia="ar-SA"/>
        </w:rPr>
        <w:t>0 га.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По итогам уборки 202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2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года валовой сбор зерна составил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127830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 в бункерном весе, при урожайности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0,8ц/га. Валовой сбор картофеля во всех категориях хозяйств составил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15594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т., в </w:t>
      </w:r>
      <w:proofErr w:type="spellStart"/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т.ч</w:t>
      </w:r>
      <w:proofErr w:type="spellEnd"/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. в КФХ-9 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974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т. С площади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4405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га убраны культуры, в частности рапс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 соя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и лен. Урожайность рапса составила 1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7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ц/га, льна собрано по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14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5 ц/га, сои-11,3.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Под посев 202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года в округе в полном объеме засыпаны семена (1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1155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тысячи тонн). Подготовлено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93,8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тысяч гектаров паров и 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42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,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7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тысячи гектаров зяби. 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Наличие поголовья крупного рогатого скота </w:t>
      </w:r>
      <w:proofErr w:type="gramStart"/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на конец</w:t>
      </w:r>
      <w:proofErr w:type="gramEnd"/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202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2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года: в коллективных, крестьянских (фермерских) и личных хозяйствах составляет 4</w:t>
      </w:r>
      <w:r w:rsidR="00C25898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8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21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голов, в </w:t>
      </w:r>
      <w:proofErr w:type="spellStart"/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т.ч</w:t>
      </w:r>
      <w:proofErr w:type="spellEnd"/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. коров-1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351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голов, лошадей-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4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7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7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голов, свиней-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800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голов, овец и коз 52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0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0 голов, птицы-1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6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 000 голов.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Заготовлено грубых и сочных кормов для животноводства по 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30,7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центнер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а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кормовых ед. на одну условную голову.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За 202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2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год валовой надой молока в коллективных хозяйствах и КФХ просчитывается на уровне 2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300 тонн.</w:t>
      </w:r>
    </w:p>
    <w:p w:rsidR="008E505F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 Производство (выращивание) мяса крупного рогатого скота в живом весе составило </w:t>
      </w:r>
      <w:r w:rsidR="00324830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190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тонн, при среднесуточном приросте более 600 граммов. 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lastRenderedPageBreak/>
        <w:t>Продуктивность молока от одной коровы в среднем по СПК (колхоз) «Имени Свердлова» составила 5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8</w:t>
      </w:r>
      <w:r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>50 кг.</w:t>
      </w:r>
    </w:p>
    <w:p w:rsidR="008E505F" w:rsidRPr="00CE71E1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1"/>
          <w:sz w:val="28"/>
          <w:szCs w:val="28"/>
          <w:lang w:eastAsia="ru-RU"/>
        </w:rPr>
      </w:pPr>
      <w:r w:rsidRPr="00CE71E1">
        <w:rPr>
          <w:rFonts w:ascii="PT Astra Serif" w:eastAsia="Calibri" w:hAnsi="PT Astra Serif" w:cs="Arial"/>
          <w:kern w:val="1"/>
          <w:sz w:val="28"/>
          <w:szCs w:val="28"/>
          <w:lang w:eastAsia="ar-SA"/>
        </w:rPr>
        <w:t xml:space="preserve">         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Инвестиции в развитие сельского хозяйства за 202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2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год составили более 20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7,2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млн. рублей, в том числе на покупку техники израсходовано   1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02,1</w:t>
      </w: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млн. руб. 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Субъекты малого и среднего предпринимательства 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из федерального и областн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ого бюджетов получили субсидии на развитие сельскохозяйстве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нного производства в сумме 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</w:t>
      </w:r>
      <w:r w:rsidR="00470CBF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10</w:t>
      </w:r>
      <w:r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млн. рублей.</w:t>
      </w:r>
    </w:p>
    <w:p w:rsidR="008E505F" w:rsidRPr="00CE71E1" w:rsidRDefault="008E505F" w:rsidP="008E505F">
      <w:pPr>
        <w:widowControl w:val="0"/>
        <w:suppressAutoHyphens/>
        <w:spacing w:after="0" w:line="240" w:lineRule="auto"/>
        <w:contextualSpacing/>
        <w:jc w:val="both"/>
        <w:rPr>
          <w:rFonts w:ascii="PT Astra Serif" w:eastAsia="Calibri" w:hAnsi="PT Astra Serif" w:cs="Arial"/>
          <w:kern w:val="24"/>
          <w:sz w:val="28"/>
          <w:szCs w:val="28"/>
          <w:lang w:eastAsia="ar-SA"/>
        </w:rPr>
      </w:pPr>
      <w:r w:rsidRPr="00CE71E1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         </w:t>
      </w:r>
      <w:r w:rsidRPr="0007396B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Доля прибыльных сельскохозяйственных </w:t>
      </w:r>
      <w:proofErr w:type="gramStart"/>
      <w:r w:rsidRPr="0007396B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организаций</w:t>
      </w:r>
      <w:proofErr w:type="gramEnd"/>
      <w:r w:rsidRPr="0007396B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в общем их числе в 202</w:t>
      </w:r>
      <w:r w:rsidR="0007396B" w:rsidRPr="0007396B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2</w:t>
      </w:r>
      <w:r w:rsidRPr="0007396B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 xml:space="preserve"> году составила </w:t>
      </w:r>
      <w:r w:rsidR="0007396B" w:rsidRPr="0007396B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90%</w:t>
      </w:r>
      <w:r w:rsidRPr="0007396B">
        <w:rPr>
          <w:rFonts w:ascii="PT Astra Serif" w:eastAsia="Calibri" w:hAnsi="PT Astra Serif" w:cs="Arial"/>
          <w:kern w:val="1"/>
          <w:sz w:val="28"/>
          <w:szCs w:val="28"/>
          <w:lang w:eastAsia="ru-RU"/>
        </w:rPr>
        <w:t>, в 2021 году – 60%.</w:t>
      </w:r>
    </w:p>
    <w:p w:rsidR="008E505F" w:rsidRPr="00CE71E1" w:rsidRDefault="008E505F" w:rsidP="008E505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В развитии инфраструктуры особая роль отводится таким отраслям экономики, как дорожное хозяйство и транспорт.</w:t>
      </w:r>
    </w:p>
    <w:p w:rsidR="008E505F" w:rsidRPr="00CE71E1" w:rsidRDefault="008E505F" w:rsidP="008E505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Общая протяженность автомобильных дорог общего пользования местного значения  составляет 524,4 км, в том числе с твердым покрытием 9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8,7</w:t>
      </w:r>
      <w:r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км.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E505F" w:rsidRPr="00CE71E1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5</w:t>
      </w:r>
      <w:r w:rsidR="003C4F23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C4F2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%.  Причина – недостаточное финансирование текущего ремонта автомобильных дорог на территориях муниципальных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E505F" w:rsidRPr="00CE71E1" w:rsidRDefault="008E505F" w:rsidP="008E505F">
      <w:pPr>
        <w:spacing w:after="0" w:line="240" w:lineRule="auto"/>
        <w:contextualSpacing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Основной объем пассажирских перевозок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округе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осуществляют  индивидуальные предприниматели.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округе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40 населенных пунктов  охвачено автобусным сообщением, что составляет 65%. </w:t>
      </w:r>
      <w:r w:rsidRPr="003C4F23">
        <w:rPr>
          <w:rFonts w:ascii="PT Astra Serif" w:eastAsia="Times New Roman" w:hAnsi="PT Astra Serif" w:cs="Tahoma"/>
          <w:sz w:val="28"/>
          <w:szCs w:val="28"/>
          <w:lang w:eastAsia="ru-RU"/>
        </w:rPr>
        <w:t>Доля населения, проживающего в населенных пунктах, не имеющих регулярного автобусного  сообщения с административным центром муниципального округа, в общей численности населения муниципального округа в 202</w:t>
      </w:r>
      <w:r w:rsidR="003C4F23">
        <w:rPr>
          <w:rFonts w:ascii="PT Astra Serif" w:eastAsia="Times New Roman" w:hAnsi="PT Astra Serif" w:cs="Tahoma"/>
          <w:sz w:val="28"/>
          <w:szCs w:val="28"/>
          <w:lang w:eastAsia="ru-RU"/>
        </w:rPr>
        <w:t>2</w:t>
      </w:r>
      <w:r w:rsidRPr="003C4F23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году составила 11,</w:t>
      </w:r>
      <w:r w:rsidR="003C4F23">
        <w:rPr>
          <w:rFonts w:ascii="PT Astra Serif" w:eastAsia="Times New Roman" w:hAnsi="PT Astra Serif" w:cs="Tahoma"/>
          <w:sz w:val="28"/>
          <w:szCs w:val="28"/>
          <w:lang w:eastAsia="ru-RU"/>
        </w:rPr>
        <w:t>1</w:t>
      </w:r>
      <w:r w:rsidRPr="003C4F23">
        <w:rPr>
          <w:rFonts w:ascii="PT Astra Serif" w:eastAsia="Times New Roman" w:hAnsi="PT Astra Serif" w:cs="Tahoma"/>
          <w:sz w:val="28"/>
          <w:szCs w:val="28"/>
          <w:lang w:eastAsia="ru-RU"/>
        </w:rPr>
        <w:t>% против 11,</w:t>
      </w:r>
      <w:r w:rsidR="00F45D9D">
        <w:rPr>
          <w:rFonts w:ascii="PT Astra Serif" w:eastAsia="Times New Roman" w:hAnsi="PT Astra Serif" w:cs="Tahoma"/>
          <w:sz w:val="28"/>
          <w:szCs w:val="28"/>
          <w:lang w:eastAsia="ru-RU"/>
        </w:rPr>
        <w:t>2</w:t>
      </w:r>
      <w:r w:rsidRPr="003C4F23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% в предыдущем году.</w:t>
      </w:r>
    </w:p>
    <w:p w:rsidR="008E505F" w:rsidRDefault="008E505F" w:rsidP="008E505F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Основным источником денежных доходов населения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округа</w:t>
      </w:r>
      <w:r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является заработная плата. </w:t>
      </w:r>
    </w:p>
    <w:p w:rsidR="008E505F" w:rsidRPr="00CE71E1" w:rsidRDefault="00470CBF" w:rsidP="008E505F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8E505F"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>В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505F"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наблюдался рост номинальной начисленной  заработной платы.</w:t>
      </w:r>
    </w:p>
    <w:p w:rsidR="008E505F" w:rsidRPr="00CE71E1" w:rsidRDefault="00470CBF" w:rsidP="008E505F">
      <w:pPr>
        <w:spacing w:after="0" w:line="240" w:lineRule="auto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Так, среднемесячная номинальная начисленная заработная плата работников крупных и средних предприятий и некоммерческих организаций в 202</w:t>
      </w:r>
      <w:r w:rsid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году по данным статистики составила </w:t>
      </w:r>
      <w:r w:rsid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33190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8E505F" w:rsidRPr="00F45D9D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r w:rsidR="008E505F" w:rsidRPr="00F45D9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руб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Заработная плата в муниципальных дошкольных образовательных учреждениях составила </w:t>
      </w:r>
      <w:r w:rsid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24103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="008E505F" w:rsidRPr="00F45D9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0 рублей. 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По данным статистики среднемесячная номинальная начисленная заработная плата</w:t>
      </w:r>
      <w:r w:rsidR="008E505F" w:rsidRPr="00F45D9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202</w:t>
      </w:r>
      <w:r w:rsidR="00F45D9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8E505F" w:rsidRPr="00F45D9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году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 работников муниципальных учреждений культуры и искусства – 3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273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60 рублей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. Работники муниципальных учреждений физической культуры и спорта в 202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стали зарабатывать 2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216,8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505F" w:rsidRPr="00F45D9D">
        <w:rPr>
          <w:rFonts w:ascii="PT Astra Serif" w:eastAsia="Times New Roman" w:hAnsi="PT Astra Serif" w:cs="Times New Roman"/>
          <w:sz w:val="28"/>
          <w:szCs w:val="28"/>
          <w:lang w:eastAsia="ru-RU"/>
        </w:rPr>
        <w:t>рублей.</w:t>
      </w:r>
      <w:r w:rsidR="008E505F" w:rsidRPr="00CE71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05F" w:rsidRDefault="008E505F" w:rsidP="008E50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Оценка показателей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470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176A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в прогнозируемом периоде</w:t>
      </w:r>
    </w:p>
    <w:p w:rsidR="008E505F" w:rsidRPr="00176AEF" w:rsidRDefault="008E505F" w:rsidP="008E50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</w:t>
      </w:r>
      <w:r w:rsidR="00470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-202</w:t>
      </w:r>
      <w:r w:rsidR="00470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годах</w:t>
      </w:r>
      <w:proofErr w:type="gramEnd"/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8E505F" w:rsidRPr="009A40D9" w:rsidRDefault="008E505F" w:rsidP="008E50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9A40D9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Демография и рынок труда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 демографию как страны в целом, так 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в частности, влияют несколько факторов, а именно:  устойчивость экономики, экология, качество и доступность медицины и образования, качество и доступность жилья, развитие инфраструктуры и другие.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состоянию на 1 января 202</w:t>
      </w:r>
      <w:r w:rsidR="00A96B6B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муниципальном округе по данным органов статистики проживало </w:t>
      </w:r>
      <w:r w:rsidR="0007396B">
        <w:rPr>
          <w:rFonts w:ascii="PT Astra Serif" w:eastAsia="Times New Roman" w:hAnsi="PT Astra Serif" w:cs="Times New Roman"/>
          <w:sz w:val="28"/>
          <w:szCs w:val="28"/>
          <w:lang w:eastAsia="ru-RU"/>
        </w:rPr>
        <w:t>14053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</w:t>
      </w:r>
      <w:r w:rsidR="0007396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что на </w:t>
      </w:r>
      <w:r w:rsidR="00B404B8">
        <w:rPr>
          <w:rFonts w:ascii="PT Astra Serif" w:eastAsia="Times New Roman" w:hAnsi="PT Astra Serif" w:cs="Times New Roman"/>
          <w:sz w:val="28"/>
          <w:szCs w:val="28"/>
          <w:lang w:eastAsia="ru-RU"/>
        </w:rPr>
        <w:t>474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человека меньше, чем на 1 января 202</w:t>
      </w:r>
      <w:r w:rsidR="00A96B6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  Структура населения по возрасту выглядит следующим образом: дети составляют 19,6 % от общего количества населения, лица трудоспособного возраста 46,1 %, лица старше трудоспособного возраста 34,3%. На одного пенсионера приходится 1,3 трудоспособного. </w:t>
      </w:r>
    </w:p>
    <w:p w:rsidR="008E505F" w:rsidRPr="00717104" w:rsidRDefault="008E505F" w:rsidP="008E50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629F">
        <w:rPr>
          <w:rFonts w:ascii="PT Astra Serif" w:eastAsia="Times New Roman" w:hAnsi="PT Astra Serif" w:cs="Times New Roman"/>
          <w:sz w:val="28"/>
          <w:szCs w:val="28"/>
          <w:lang w:eastAsia="ru-RU"/>
        </w:rPr>
        <w:t>По оценочным данным на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января 202</w:t>
      </w:r>
      <w:r w:rsidR="00A96B6B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среднегодовая численность населения округа сократится на </w:t>
      </w:r>
      <w:r w:rsidR="00B404B8">
        <w:rPr>
          <w:rFonts w:ascii="PT Astra Serif" w:eastAsia="Times New Roman" w:hAnsi="PT Astra Serif" w:cs="Times New Roman"/>
          <w:sz w:val="28"/>
          <w:szCs w:val="28"/>
          <w:lang w:eastAsia="ru-RU"/>
        </w:rPr>
        <w:t>657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человека и составит 1</w:t>
      </w:r>
      <w:r w:rsidR="00A96B6B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B404B8">
        <w:rPr>
          <w:rFonts w:ascii="PT Astra Serif" w:eastAsia="Times New Roman" w:hAnsi="PT Astra Serif" w:cs="Times New Roman"/>
          <w:sz w:val="28"/>
          <w:szCs w:val="28"/>
          <w:lang w:eastAsia="ru-RU"/>
        </w:rPr>
        <w:t>396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человека.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Основными причинами сокращения населения в округе являются высокая смертность (плохая экология, недоступность качественной медицины для основной массы людей), низкая рождаемость (сложное материальное положение, неуверенность людей в будущем), миграция трудоспособного населения за пределы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и Курганской  области в поисках достойно оплачиваемой работы и более комфортных условий для проживания и перспектив для развития детей.</w:t>
      </w:r>
      <w:proofErr w:type="gramEnd"/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На протяжени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прогнозируемого периода количество населения округа будет сокращаться, так как в обозримой перспективе не ожидается  конкретных предпосылок, способных переломить  сложившуюся негативную тенденцию. </w:t>
      </w:r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В 202</w:t>
      </w:r>
      <w:r w:rsidR="00D05B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-202</w:t>
      </w:r>
      <w:r w:rsidR="00D05B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годах количество людей, занятых в экономике, также будет постепенно сокращаться, в основном,  за счет миграции трудоспособного населения за пределы округа, а также в связи с выходом на пенсию людей старше трудоспособного возраста. Однако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количество работающих пенсионеров незначительно увеличится, так как размер  выплачиваемых пенсий, в основном, не позволяет людям старшего возраста обеспечить себе  достойный уровень жизни. Количество иностранных мигрантов не увеличится, а даже незначительно сократится ввиду наличия кризисных явлений в экономике, а также неблагоприятной эпидемиологической ситуации.</w:t>
      </w:r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202</w:t>
      </w:r>
      <w:r w:rsidR="00D05B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зарегистрированный уровень безработицы составил </w:t>
      </w:r>
      <w:r w:rsidR="00D05B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1,5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%. По оценочным данным в 202</w:t>
      </w:r>
      <w:r w:rsidR="00D05B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уровень зарегистрированной безработицы сократится частично  за счет планируемого  открытия новых рабочих мест, миграции молодежи за пределы округа, а также выхода на пенсию лиц, достигших пенсионного возраста и составит </w:t>
      </w:r>
      <w:r w:rsidR="00B404B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1,49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%. В прогнозируемом периоде (в базовом и консервативном вариантах) уровень зарегистрированной безработицы будет составлять </w:t>
      </w:r>
      <w:r w:rsidR="00B404B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1,46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 w:rsidR="00B404B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1,48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%.         </w:t>
      </w:r>
      <w:proofErr w:type="gramEnd"/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Кризисные явления в экономике страны в целом, вызванные нестабильностью на мировом рынке, негативно отразятся на состоянии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демографии и трудовой занятости населения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Шатровского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округа. </w:t>
      </w:r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В прогнозируемой перспективе отсутствуют факторы, способствующие вовлечению значительного количества дополнительной  рабочей силы в экономику округа. </w:t>
      </w:r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данным органов статистики  </w:t>
      </w:r>
      <w:r w:rsidRPr="00176AEF">
        <w:rPr>
          <w:rFonts w:ascii="Times New Roman" w:eastAsia="Calibri" w:hAnsi="Times New Roman" w:cs="Times New Roman"/>
          <w:sz w:val="28"/>
          <w:szCs w:val="28"/>
        </w:rPr>
        <w:t xml:space="preserve">среднемесячная номинальная начисленная заработная плата по крупным и средним предприятиям и организациям (без субъектов малого предпринимательства и организаций с численностью до 15 человек)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202</w:t>
      </w:r>
      <w:r w:rsidR="00D05B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составила 3</w:t>
      </w:r>
      <w:r w:rsidR="00D05B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2374,60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руб. По оценочным данным значение данного показателя в 202</w:t>
      </w:r>
      <w:r w:rsidR="00D05B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составит 3</w:t>
      </w:r>
      <w:r w:rsidR="00D05B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4963,00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руб. В прогнозируемом периоде уровень  номинальной начисленной  заработной платы работников будет расти, но не выше, чем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официальный процент инфляции.</w:t>
      </w:r>
    </w:p>
    <w:p w:rsidR="008E505F" w:rsidRDefault="008E505F" w:rsidP="008E505F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8E505F" w:rsidRPr="00691E8A" w:rsidRDefault="008E505F" w:rsidP="008E505F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F44FED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Производственная деятельность</w:t>
      </w:r>
    </w:p>
    <w:p w:rsidR="008E505F" w:rsidRPr="00C423E8" w:rsidRDefault="008E505F" w:rsidP="008E505F">
      <w:pPr>
        <w:tabs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highlight w:val="yellow"/>
          <w:lang w:eastAsia="ar-SA"/>
        </w:rPr>
      </w:pPr>
      <w:proofErr w:type="gramStart"/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Отгружено товаров собственного производства по «чистым» видам экономической деятельности без СМП, включая средние предприятия, за январь-декабрь 202</w:t>
      </w:r>
      <w:r w:rsidR="00B404B8"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года по данным органов статистики  составило 3</w:t>
      </w:r>
      <w:r w:rsidR="00B404B8"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60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,</w:t>
      </w:r>
      <w:r w:rsidR="00B404B8"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82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млн. руб. По оценочным данным по итогам 202</w:t>
      </w:r>
      <w:r w:rsidR="00B404B8"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года значение данного показателя составит </w:t>
      </w:r>
      <w:r w:rsidR="00B404B8"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360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,</w:t>
      </w:r>
      <w:r w:rsidR="00B404B8"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92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млн. руб. (выше уровня 2021 года) в связи с ростом цен на производимые товары.</w:t>
      </w:r>
      <w:proofErr w:type="gramEnd"/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прогнозируемом периоде значение показателя будет расти по сравнению с 202</w:t>
      </w:r>
      <w:r w:rsidR="00B404B8"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</w:t>
      </w:r>
      <w:r w:rsidRP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годом и в базовом и в консервативном вариантах, но незначительно</w:t>
      </w:r>
      <w:r w:rsidR="00B404B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8E505F" w:rsidRPr="009F7930" w:rsidRDefault="008E505F" w:rsidP="008E505F">
      <w:pPr>
        <w:tabs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Производство сельскохозяйственной продукции в хозяйствах всех категорий округа в 202</w:t>
      </w:r>
      <w:r w:rsidR="009F7930"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году составило </w:t>
      </w:r>
      <w:r w:rsidR="009F7930"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3655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,</w:t>
      </w:r>
      <w:r w:rsidR="009F7930"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0 млн. руб. По оценочным данным в 202</w:t>
      </w:r>
      <w:r w:rsidR="009F7930"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году значение данного показателя составит </w:t>
      </w:r>
      <w:r w:rsidR="009F7930"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3246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,</w:t>
      </w:r>
      <w:r w:rsidR="009F7930"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80</w:t>
      </w: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млн. руб.</w:t>
      </w:r>
    </w:p>
    <w:p w:rsidR="009F7930" w:rsidRDefault="008E505F" w:rsidP="009F79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3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прогнозируемом периоде ожидается небольшой, но  стабильный рост производства сельскохозяйственной продукции в целом, в том числе по видам продукции за счет увеличения посевных  площадей, применения современных технологий сельскохозяйственного производства. </w:t>
      </w:r>
      <w:r w:rsidRPr="009F7930">
        <w:rPr>
          <w:rFonts w:ascii="Times New Roman" w:eastAsia="Calibri" w:hAnsi="Times New Roman" w:cs="Times New Roman"/>
          <w:sz w:val="28"/>
          <w:szCs w:val="28"/>
        </w:rPr>
        <w:t>Индекс сельскохозяйственного производства  в 202</w:t>
      </w:r>
      <w:r w:rsidR="009F7930" w:rsidRPr="009F7930">
        <w:rPr>
          <w:rFonts w:ascii="Times New Roman" w:eastAsia="Calibri" w:hAnsi="Times New Roman" w:cs="Times New Roman"/>
          <w:sz w:val="28"/>
          <w:szCs w:val="28"/>
        </w:rPr>
        <w:t>2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году к уровню 202</w:t>
      </w:r>
      <w:r w:rsidR="009F7930" w:rsidRPr="009F7930">
        <w:rPr>
          <w:rFonts w:ascii="Times New Roman" w:eastAsia="Calibri" w:hAnsi="Times New Roman" w:cs="Times New Roman"/>
          <w:sz w:val="28"/>
          <w:szCs w:val="28"/>
        </w:rPr>
        <w:t>1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года составил  </w:t>
      </w:r>
      <w:r w:rsidR="009F7930" w:rsidRPr="009F7930">
        <w:rPr>
          <w:rFonts w:ascii="Times New Roman" w:eastAsia="Calibri" w:hAnsi="Times New Roman" w:cs="Times New Roman"/>
          <w:sz w:val="28"/>
          <w:szCs w:val="28"/>
        </w:rPr>
        <w:t>186,20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% , в 202</w:t>
      </w:r>
      <w:r w:rsidR="009F7930" w:rsidRPr="009F7930">
        <w:rPr>
          <w:rFonts w:ascii="Times New Roman" w:eastAsia="Calibri" w:hAnsi="Times New Roman" w:cs="Times New Roman"/>
          <w:sz w:val="28"/>
          <w:szCs w:val="28"/>
        </w:rPr>
        <w:t>3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году по отношению к 202</w:t>
      </w:r>
      <w:r w:rsidR="009F7930" w:rsidRPr="009F7930">
        <w:rPr>
          <w:rFonts w:ascii="Times New Roman" w:eastAsia="Calibri" w:hAnsi="Times New Roman" w:cs="Times New Roman"/>
          <w:sz w:val="28"/>
          <w:szCs w:val="28"/>
        </w:rPr>
        <w:t>2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году ожидается </w:t>
      </w:r>
      <w:r w:rsidR="009F7930" w:rsidRPr="009F7930">
        <w:rPr>
          <w:rFonts w:ascii="Times New Roman" w:eastAsia="Calibri" w:hAnsi="Times New Roman" w:cs="Times New Roman"/>
          <w:sz w:val="28"/>
          <w:szCs w:val="28"/>
        </w:rPr>
        <w:t>87,60</w:t>
      </w:r>
      <w:r w:rsidRPr="009F7930">
        <w:rPr>
          <w:rFonts w:ascii="Times New Roman" w:eastAsia="Calibri" w:hAnsi="Times New Roman" w:cs="Times New Roman"/>
          <w:sz w:val="28"/>
          <w:szCs w:val="28"/>
        </w:rPr>
        <w:t xml:space="preserve"> %. </w:t>
      </w:r>
    </w:p>
    <w:p w:rsidR="008E505F" w:rsidRPr="009F7930" w:rsidRDefault="008E505F" w:rsidP="009F79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41509">
        <w:rPr>
          <w:rFonts w:ascii="Times New Roman" w:eastAsia="Calibri" w:hAnsi="Times New Roman" w:cs="Times New Roman"/>
          <w:sz w:val="28"/>
          <w:szCs w:val="28"/>
        </w:rPr>
        <w:t>Индекс потребительских цен в 202</w:t>
      </w:r>
      <w:r w:rsidR="00C41509">
        <w:rPr>
          <w:rFonts w:ascii="Times New Roman" w:eastAsia="Calibri" w:hAnsi="Times New Roman" w:cs="Times New Roman"/>
          <w:sz w:val="28"/>
          <w:szCs w:val="28"/>
        </w:rPr>
        <w:t>2</w:t>
      </w:r>
      <w:r w:rsidRPr="00C41509">
        <w:rPr>
          <w:rFonts w:ascii="Times New Roman" w:eastAsia="Calibri" w:hAnsi="Times New Roman" w:cs="Times New Roman"/>
          <w:sz w:val="28"/>
          <w:szCs w:val="28"/>
        </w:rPr>
        <w:t xml:space="preserve"> году составил 1</w:t>
      </w:r>
      <w:r w:rsidR="00C41509">
        <w:rPr>
          <w:rFonts w:ascii="Times New Roman" w:eastAsia="Calibri" w:hAnsi="Times New Roman" w:cs="Times New Roman"/>
          <w:sz w:val="28"/>
          <w:szCs w:val="28"/>
        </w:rPr>
        <w:t>11</w:t>
      </w:r>
      <w:r w:rsidRPr="00C41509">
        <w:rPr>
          <w:rFonts w:ascii="Times New Roman" w:eastAsia="Calibri" w:hAnsi="Times New Roman" w:cs="Times New Roman"/>
          <w:sz w:val="28"/>
          <w:szCs w:val="28"/>
        </w:rPr>
        <w:t>,</w:t>
      </w:r>
      <w:r w:rsidR="00C41509">
        <w:rPr>
          <w:rFonts w:ascii="Times New Roman" w:eastAsia="Calibri" w:hAnsi="Times New Roman" w:cs="Times New Roman"/>
          <w:sz w:val="28"/>
          <w:szCs w:val="28"/>
        </w:rPr>
        <w:t>3</w:t>
      </w:r>
      <w:r w:rsidRPr="00C41509">
        <w:rPr>
          <w:rFonts w:ascii="Times New Roman" w:eastAsia="Calibri" w:hAnsi="Times New Roman" w:cs="Times New Roman"/>
          <w:sz w:val="28"/>
          <w:szCs w:val="28"/>
        </w:rPr>
        <w:t>0 %, в 202</w:t>
      </w:r>
      <w:r w:rsidR="00C41509">
        <w:rPr>
          <w:rFonts w:ascii="Times New Roman" w:eastAsia="Calibri" w:hAnsi="Times New Roman" w:cs="Times New Roman"/>
          <w:sz w:val="28"/>
          <w:szCs w:val="28"/>
        </w:rPr>
        <w:t>3</w:t>
      </w:r>
      <w:r w:rsidRPr="00C4150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41509">
        <w:rPr>
          <w:rFonts w:ascii="Times New Roman" w:eastAsia="Calibri" w:hAnsi="Times New Roman" w:cs="Times New Roman"/>
          <w:sz w:val="28"/>
          <w:szCs w:val="28"/>
        </w:rPr>
        <w:t>оду ожидается на уровне 104,80%</w:t>
      </w:r>
      <w:r w:rsidRPr="00C41509">
        <w:rPr>
          <w:rFonts w:ascii="Times New Roman" w:eastAsia="Calibri" w:hAnsi="Times New Roman" w:cs="Times New Roman"/>
          <w:sz w:val="28"/>
          <w:szCs w:val="28"/>
        </w:rPr>
        <w:t>. В прогнозируемом периоде значение данного показателя будет составлять 10</w:t>
      </w:r>
      <w:r w:rsidR="00C41509">
        <w:rPr>
          <w:rFonts w:ascii="Times New Roman" w:eastAsia="Calibri" w:hAnsi="Times New Roman" w:cs="Times New Roman"/>
          <w:sz w:val="28"/>
          <w:szCs w:val="28"/>
        </w:rPr>
        <w:t>3</w:t>
      </w:r>
      <w:r w:rsidRPr="00C41509">
        <w:rPr>
          <w:rFonts w:ascii="Times New Roman" w:eastAsia="Calibri" w:hAnsi="Times New Roman" w:cs="Times New Roman"/>
          <w:sz w:val="28"/>
          <w:szCs w:val="28"/>
        </w:rPr>
        <w:t>,</w:t>
      </w:r>
      <w:r w:rsidR="00C41509">
        <w:rPr>
          <w:rFonts w:ascii="Times New Roman" w:eastAsia="Calibri" w:hAnsi="Times New Roman" w:cs="Times New Roman"/>
          <w:sz w:val="28"/>
          <w:szCs w:val="28"/>
        </w:rPr>
        <w:t>9</w:t>
      </w:r>
      <w:r w:rsidRPr="00C41509">
        <w:rPr>
          <w:rFonts w:ascii="Times New Roman" w:eastAsia="Calibri" w:hAnsi="Times New Roman" w:cs="Times New Roman"/>
          <w:sz w:val="28"/>
          <w:szCs w:val="28"/>
        </w:rPr>
        <w:t>-10</w:t>
      </w:r>
      <w:r w:rsidR="00C41509">
        <w:rPr>
          <w:rFonts w:ascii="Times New Roman" w:eastAsia="Calibri" w:hAnsi="Times New Roman" w:cs="Times New Roman"/>
          <w:sz w:val="28"/>
          <w:szCs w:val="28"/>
        </w:rPr>
        <w:t>4</w:t>
      </w:r>
      <w:r w:rsidRPr="00C41509">
        <w:rPr>
          <w:rFonts w:ascii="Times New Roman" w:eastAsia="Calibri" w:hAnsi="Times New Roman" w:cs="Times New Roman"/>
          <w:sz w:val="28"/>
          <w:szCs w:val="28"/>
        </w:rPr>
        <w:t>,</w:t>
      </w:r>
      <w:r w:rsidR="00C41509">
        <w:rPr>
          <w:rFonts w:ascii="Times New Roman" w:eastAsia="Calibri" w:hAnsi="Times New Roman" w:cs="Times New Roman"/>
          <w:sz w:val="28"/>
          <w:szCs w:val="28"/>
        </w:rPr>
        <w:t>1</w:t>
      </w:r>
      <w:r w:rsidRPr="00C41509">
        <w:rPr>
          <w:rFonts w:ascii="Times New Roman" w:eastAsia="Calibri" w:hAnsi="Times New Roman" w:cs="Times New Roman"/>
          <w:sz w:val="28"/>
          <w:szCs w:val="28"/>
        </w:rPr>
        <w:t>0%.</w:t>
      </w:r>
    </w:p>
    <w:p w:rsidR="008E505F" w:rsidRPr="009F7930" w:rsidRDefault="008E505F" w:rsidP="008E505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>По оценочным данным в 202</w:t>
      </w:r>
      <w:r w:rsidR="009F7930"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ожидается рост объема инвестиций в основной капитал по сравнению с 202</w:t>
      </w:r>
      <w:r w:rsidR="009F7930"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годом по причине частичного восстановления  экономической активности, учитывая также инфляционный фактор. В прогнозируемом периоде 202</w:t>
      </w:r>
      <w:r w:rsidR="009F7930"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>4-2026</w:t>
      </w:r>
      <w:r w:rsidRPr="009F7930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годах ожидается постепенное восстановление экономики, в связи с этим увеличатся объемы инвестиций.</w:t>
      </w:r>
    </w:p>
    <w:p w:rsidR="008E505F" w:rsidRPr="00D8585E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органов статистики в 202</w:t>
      </w:r>
      <w:r w:rsidR="009F7930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введено в эксплуатацию </w:t>
      </w:r>
      <w:r w:rsidR="009F7930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2,16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жилья, в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индивидуального </w:t>
      </w:r>
      <w:r w:rsidR="009F7930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2,16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202</w:t>
      </w:r>
      <w:r w:rsidR="009F7930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ожидается  ввод в действие 2,</w:t>
      </w:r>
      <w:r w:rsidR="009F7930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жилья.</w:t>
      </w:r>
      <w:proofErr w:type="gram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прогнозируемом периоде рост данного показателя будет незначительным. Основные причины</w:t>
      </w:r>
      <w:r w:rsid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округе нет достаточного количества высокооплачиваемых рабочих мест, у большинства  населения нет доходов, позволяющих строить новое благоустроенное жилье, в том числе, с привлечением кредитных ресурсов.</w:t>
      </w:r>
    </w:p>
    <w:p w:rsidR="008E505F" w:rsidRPr="009F7930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9F7930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введены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газоразводящие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- </w:t>
      </w:r>
      <w:r w:rsidR="009F7930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км.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9F7930"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также планируется ввести </w:t>
      </w:r>
      <w:proofErr w:type="spellStart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газоразводящие</w:t>
      </w:r>
      <w:proofErr w:type="spellEnd"/>
      <w:r w:rsidRP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объемом 10км. В  прогнозируемом периоде 2023-2025 годах объем введенных газовых сетей не изменится</w:t>
      </w:r>
      <w:r w:rsidR="009F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4404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существующих реалий, в которых в настоящее время функционирует российская экономика, в том числе, экономика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вывод, что в процессе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2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последующих годах  придется столкнуться с определенными трудностями (отток трудоспособного населения,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количество  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качественных, хорошо оплачиваемых рабочих мест,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потребительского спроса на товары и услуги, низкая 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кредитов для развития</w:t>
      </w:r>
      <w:proofErr w:type="gram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малого и сре</w:t>
      </w:r>
      <w:r w:rsidR="00C42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днего бизнеса и другие). Однако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проведения комплекса мер по привлечению трудовых ресурсов из других регионов, создания условий для закрепления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стабилизировать количество трудоспособного населения, а также снизить уровень безработицы. </w:t>
      </w:r>
    </w:p>
    <w:p w:rsidR="008E505F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ожидается увеличение физического объема произведенной продукции растениеводства и животноводства практически по всем видам продукции (в базовом варианте) при одновременном увеличении  посевных площадей.  </w:t>
      </w:r>
      <w:r w:rsidRPr="00691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прибыльных организаций в общ</w:t>
      </w:r>
      <w:r w:rsidR="0069144E" w:rsidRPr="006914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числе организаций достигнет 9</w:t>
      </w:r>
      <w:r w:rsidRPr="0069144E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05F" w:rsidRPr="00176AEF" w:rsidRDefault="008E505F" w:rsidP="008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мероприятий, направленных на привлечение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8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инвесторов планируется рост инвестиций в основной капитал, в основном, за счет внебюджетных источников.</w:t>
      </w:r>
    </w:p>
    <w:p w:rsid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44E" w:rsidRDefault="0069144E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05F" w:rsidRDefault="008E505F" w:rsidP="008E505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Шатровского</w:t>
      </w:r>
      <w:proofErr w:type="spellEnd"/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404" w:rsidRDefault="008E505F" w:rsidP="008E505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E505F" w:rsidRPr="00176AEF" w:rsidRDefault="00634404" w:rsidP="008E505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Курганской области                 </w:t>
      </w:r>
      <w:r w:rsidR="008E505F"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8E505F" w:rsidRPr="00176AEF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Л.А.Рассохин</w:t>
      </w:r>
      <w:proofErr w:type="spellEnd"/>
    </w:p>
    <w:p w:rsidR="008E505F" w:rsidRDefault="008E505F" w:rsidP="008E505F">
      <w:pPr>
        <w:spacing w:after="0" w:line="240" w:lineRule="auto"/>
      </w:pPr>
    </w:p>
    <w:p w:rsidR="008E505F" w:rsidRDefault="008E505F" w:rsidP="008E505F"/>
    <w:p w:rsidR="003C0FDA" w:rsidRDefault="003C0FDA"/>
    <w:sectPr w:rsidR="003C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D7D"/>
    <w:multiLevelType w:val="hybridMultilevel"/>
    <w:tmpl w:val="131803A8"/>
    <w:lvl w:ilvl="0" w:tplc="12802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56"/>
    <w:rsid w:val="0007396B"/>
    <w:rsid w:val="000813BD"/>
    <w:rsid w:val="000D4798"/>
    <w:rsid w:val="00191516"/>
    <w:rsid w:val="0023343E"/>
    <w:rsid w:val="00261156"/>
    <w:rsid w:val="00324830"/>
    <w:rsid w:val="003C0FDA"/>
    <w:rsid w:val="003C4F23"/>
    <w:rsid w:val="003D2D42"/>
    <w:rsid w:val="00423DA9"/>
    <w:rsid w:val="00466897"/>
    <w:rsid w:val="00470CBF"/>
    <w:rsid w:val="00471E99"/>
    <w:rsid w:val="004A2D6F"/>
    <w:rsid w:val="00634404"/>
    <w:rsid w:val="0069144E"/>
    <w:rsid w:val="008E505F"/>
    <w:rsid w:val="009D2487"/>
    <w:rsid w:val="009F7930"/>
    <w:rsid w:val="00A01865"/>
    <w:rsid w:val="00A221F9"/>
    <w:rsid w:val="00A23B1A"/>
    <w:rsid w:val="00A34453"/>
    <w:rsid w:val="00A82185"/>
    <w:rsid w:val="00A96B6B"/>
    <w:rsid w:val="00AE55A0"/>
    <w:rsid w:val="00B404B8"/>
    <w:rsid w:val="00C25898"/>
    <w:rsid w:val="00C41509"/>
    <w:rsid w:val="00C423E8"/>
    <w:rsid w:val="00D05BC4"/>
    <w:rsid w:val="00D6296D"/>
    <w:rsid w:val="00DA57B2"/>
    <w:rsid w:val="00E01061"/>
    <w:rsid w:val="00F4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5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5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00C0-2670-47F1-953C-A12A53C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2023-09-13T04:58:00Z</cp:lastPrinted>
  <dcterms:created xsi:type="dcterms:W3CDTF">2023-06-19T05:01:00Z</dcterms:created>
  <dcterms:modified xsi:type="dcterms:W3CDTF">2023-09-13T04:59:00Z</dcterms:modified>
</cp:coreProperties>
</file>