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  <w:bookmarkStart w:id="0" w:name="_GoBack"/>
      <w:bookmarkEnd w:id="0"/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от </w:t>
      </w:r>
      <w:r w:rsidR="00E34109">
        <w:rPr>
          <w:rFonts w:cs="Times New Roman"/>
          <w:szCs w:val="28"/>
        </w:rPr>
        <w:t xml:space="preserve"> 30</w:t>
      </w:r>
      <w:proofErr w:type="gramEnd"/>
      <w:r w:rsidR="00E34109">
        <w:rPr>
          <w:rFonts w:cs="Times New Roman"/>
          <w:szCs w:val="28"/>
        </w:rPr>
        <w:t xml:space="preserve">  июня  2025 года  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E34109">
        <w:rPr>
          <w:rFonts w:cs="Times New Roman"/>
          <w:szCs w:val="28"/>
        </w:rPr>
        <w:t xml:space="preserve"> 397     </w:t>
      </w:r>
      <w:r w:rsidR="0096437B">
        <w:rPr>
          <w:rFonts w:cs="Times New Roman"/>
          <w:szCs w:val="28"/>
        </w:rPr>
        <w:t xml:space="preserve">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</w:t>
      </w:r>
      <w:r w:rsidR="00266587">
        <w:rPr>
          <w:sz w:val="24"/>
          <w:szCs w:val="28"/>
        </w:rPr>
        <w:t>м</w:t>
      </w:r>
      <w:r w:rsidRPr="000C4EA5">
        <w:rPr>
          <w:sz w:val="24"/>
          <w:szCs w:val="28"/>
        </w:rPr>
        <w:t xml:space="preserve">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B263A2" w:rsidRDefault="001D1A85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EC3EDE" w:rsidRDefault="00EC3EDE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p w:rsidR="00EC3EDE" w:rsidRPr="001D62A4" w:rsidRDefault="00EC3EDE" w:rsidP="00D43A30">
      <w:pPr>
        <w:jc w:val="both"/>
        <w:rPr>
          <w:color w:val="auto"/>
          <w:sz w:val="24"/>
          <w:szCs w:val="24"/>
        </w:rPr>
      </w:pPr>
    </w:p>
    <w:p w:rsidR="00EC3EDE" w:rsidRPr="001D62A4" w:rsidRDefault="00EC3EDE" w:rsidP="00DE3CFA">
      <w:pPr>
        <w:jc w:val="both"/>
        <w:rPr>
          <w:sz w:val="24"/>
          <w:szCs w:val="24"/>
        </w:rPr>
        <w:sectPr w:rsidR="00EC3EDE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от </w:t>
            </w:r>
            <w:r w:rsidR="00E34109">
              <w:rPr>
                <w:sz w:val="24"/>
                <w:szCs w:val="24"/>
              </w:rPr>
              <w:t xml:space="preserve">  30   июня   2025   года   №    397 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08259F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08259F" w:rsidP="0018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10 метров (в случае необходимости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08259F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08259F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08259F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08259F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  <w:r w:rsidR="002D4BC6">
              <w:rPr>
                <w:sz w:val="24"/>
                <w:szCs w:val="24"/>
              </w:rPr>
              <w:t xml:space="preserve"> (прочие услуги)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D1A85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1D1A8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1D1A85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061F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61FA8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61FA8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061FA8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</w:t>
            </w:r>
            <w:r w:rsidR="004E7A8B" w:rsidRPr="000C4EA5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Default="00EC3EDE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0424DF" w:rsidRPr="000C4EA5" w:rsidRDefault="000424DF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Pr="000C4EA5" w:rsidRDefault="00187275" w:rsidP="00E34109">
      <w:pPr>
        <w:suppressAutoHyphens w:val="0"/>
        <w:ind w:left="-142"/>
        <w:rPr>
          <w:sz w:val="24"/>
          <w:szCs w:val="24"/>
        </w:rPr>
      </w:pPr>
    </w:p>
    <w:sectPr w:rsidR="00187275" w:rsidRPr="000C4EA5" w:rsidSect="000424DF">
      <w:pgSz w:w="16838" w:h="11906" w:orient="landscape"/>
      <w:pgMar w:top="709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424DF"/>
    <w:rsid w:val="00056F3E"/>
    <w:rsid w:val="00061FA8"/>
    <w:rsid w:val="000634EC"/>
    <w:rsid w:val="000664B9"/>
    <w:rsid w:val="0008259F"/>
    <w:rsid w:val="00091AC1"/>
    <w:rsid w:val="000C4EA5"/>
    <w:rsid w:val="0010588E"/>
    <w:rsid w:val="0010730A"/>
    <w:rsid w:val="0013165A"/>
    <w:rsid w:val="001431FC"/>
    <w:rsid w:val="00175468"/>
    <w:rsid w:val="00187275"/>
    <w:rsid w:val="001946A6"/>
    <w:rsid w:val="001D1A85"/>
    <w:rsid w:val="001D62A4"/>
    <w:rsid w:val="00266587"/>
    <w:rsid w:val="0029733C"/>
    <w:rsid w:val="002A368A"/>
    <w:rsid w:val="002C432B"/>
    <w:rsid w:val="002D4BC6"/>
    <w:rsid w:val="002F687A"/>
    <w:rsid w:val="00317022"/>
    <w:rsid w:val="0034329C"/>
    <w:rsid w:val="003525A8"/>
    <w:rsid w:val="003542BB"/>
    <w:rsid w:val="003551C4"/>
    <w:rsid w:val="00355360"/>
    <w:rsid w:val="00377F0E"/>
    <w:rsid w:val="00387A41"/>
    <w:rsid w:val="003C34ED"/>
    <w:rsid w:val="00455866"/>
    <w:rsid w:val="00455D39"/>
    <w:rsid w:val="00482F51"/>
    <w:rsid w:val="004C5E5D"/>
    <w:rsid w:val="004D58DF"/>
    <w:rsid w:val="004E7A8B"/>
    <w:rsid w:val="00514B3D"/>
    <w:rsid w:val="00572EF9"/>
    <w:rsid w:val="00595DD1"/>
    <w:rsid w:val="005A29AA"/>
    <w:rsid w:val="005D396C"/>
    <w:rsid w:val="00646C4D"/>
    <w:rsid w:val="006D3E60"/>
    <w:rsid w:val="00715AB9"/>
    <w:rsid w:val="0072667B"/>
    <w:rsid w:val="00730E09"/>
    <w:rsid w:val="00741817"/>
    <w:rsid w:val="00780039"/>
    <w:rsid w:val="007A5899"/>
    <w:rsid w:val="007A7F48"/>
    <w:rsid w:val="007F3253"/>
    <w:rsid w:val="007F3298"/>
    <w:rsid w:val="008373A8"/>
    <w:rsid w:val="00840279"/>
    <w:rsid w:val="00874A87"/>
    <w:rsid w:val="00895F7F"/>
    <w:rsid w:val="008E1F24"/>
    <w:rsid w:val="008E4BE1"/>
    <w:rsid w:val="00925CB6"/>
    <w:rsid w:val="0096437B"/>
    <w:rsid w:val="009837D2"/>
    <w:rsid w:val="009B2CE0"/>
    <w:rsid w:val="00A0016D"/>
    <w:rsid w:val="00A14D50"/>
    <w:rsid w:val="00A40CCC"/>
    <w:rsid w:val="00A439CB"/>
    <w:rsid w:val="00AA3D15"/>
    <w:rsid w:val="00AD0863"/>
    <w:rsid w:val="00AF1189"/>
    <w:rsid w:val="00B258F2"/>
    <w:rsid w:val="00B263A2"/>
    <w:rsid w:val="00B625F7"/>
    <w:rsid w:val="00B7302B"/>
    <w:rsid w:val="00BA5D6C"/>
    <w:rsid w:val="00BA61B8"/>
    <w:rsid w:val="00BC32C3"/>
    <w:rsid w:val="00C221C6"/>
    <w:rsid w:val="00C35B4C"/>
    <w:rsid w:val="00C45121"/>
    <w:rsid w:val="00C63DA4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A6FE2"/>
    <w:rsid w:val="00DB66B9"/>
    <w:rsid w:val="00DE3CFA"/>
    <w:rsid w:val="00DF16E4"/>
    <w:rsid w:val="00E16CB1"/>
    <w:rsid w:val="00E209DB"/>
    <w:rsid w:val="00E256D2"/>
    <w:rsid w:val="00E2585C"/>
    <w:rsid w:val="00E34109"/>
    <w:rsid w:val="00E76220"/>
    <w:rsid w:val="00E95098"/>
    <w:rsid w:val="00EA2385"/>
    <w:rsid w:val="00EB225B"/>
    <w:rsid w:val="00EC3EDE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987E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A3A0-EE91-4E9A-9387-DA6EC1D7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2025-06-27T04:58:00Z</cp:lastPrinted>
  <dcterms:created xsi:type="dcterms:W3CDTF">2024-03-15T05:00:00Z</dcterms:created>
  <dcterms:modified xsi:type="dcterms:W3CDTF">2025-07-22T09:40:00Z</dcterms:modified>
</cp:coreProperties>
</file>