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12FE5" w:rsidRDefault="00B82F36" w:rsidP="00EB4732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Pr="00D12FE5" w:rsidRDefault="00D55217" w:rsidP="00EB47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D12FE5" w:rsidRDefault="00E41C6F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D12FE5" w:rsidRDefault="00580F2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E4F0C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12FE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565">
        <w:rPr>
          <w:rFonts w:ascii="Times New Roman" w:eastAsia="Times New Roman" w:hAnsi="Times New Roman" w:cs="Times New Roman"/>
          <w:szCs w:val="28"/>
          <w:u w:val="single"/>
          <w:lang w:eastAsia="ru-RU"/>
        </w:rPr>
        <w:t>27 сентября 2022 г.</w:t>
      </w:r>
      <w:r w:rsidR="00644565">
        <w:rPr>
          <w:rFonts w:ascii="Times New Roman" w:eastAsia="Times New Roman" w:hAnsi="Times New Roman" w:cs="Times New Roman"/>
          <w:szCs w:val="28"/>
          <w:lang w:eastAsia="ru-RU"/>
        </w:rPr>
        <w:t xml:space="preserve"> № </w:t>
      </w:r>
      <w:r w:rsidR="00644565">
        <w:rPr>
          <w:rFonts w:ascii="Times New Roman" w:eastAsia="Times New Roman" w:hAnsi="Times New Roman" w:cs="Times New Roman"/>
          <w:szCs w:val="28"/>
          <w:u w:val="single"/>
          <w:lang w:eastAsia="ru-RU"/>
        </w:rPr>
        <w:t>299</w:t>
      </w:r>
      <w:r w:rsidRPr="00D12FE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97C5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</w:t>
      </w:r>
      <w:r w:rsidR="00644565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</w:t>
      </w:r>
      <w:r w:rsidR="005E4F0C" w:rsidRPr="00D1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с.Шатрово</w:t>
      </w:r>
    </w:p>
    <w:p w:rsidR="005E4F0C" w:rsidRPr="00D12FE5" w:rsidRDefault="005E4F0C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24A" w:rsidRPr="00D12FE5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49" w:rsidRPr="00EB4732" w:rsidRDefault="00D12FE5" w:rsidP="00EB47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73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4732" w:rsidRPr="00EB4732">
        <w:rPr>
          <w:rFonts w:ascii="Times New Roman" w:hAnsi="Times New Roman" w:cs="Times New Roman"/>
          <w:b/>
          <w:sz w:val="24"/>
          <w:szCs w:val="24"/>
        </w:rPr>
        <w:t>Правил благоустройства территории Шатровского муниципального округа Курганской области</w:t>
      </w:r>
    </w:p>
    <w:p w:rsidR="006E32CF" w:rsidRPr="00EB4732" w:rsidRDefault="006E32CF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DA9" w:rsidRPr="00EB4732" w:rsidRDefault="00CC0DA9" w:rsidP="00D12FE5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30550" w:rsidRPr="00EB4732" w:rsidRDefault="00B30550" w:rsidP="00B305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FA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Курганской области от 01.03.2019г. №19 «О порядке определения границ прилегающих территорий на территории Курганской области»,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1042, руководствуясь 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Уставом Шатровского </w:t>
      </w:r>
      <w:r w:rsidR="00ED00C8" w:rsidRPr="00EB4732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 Дума</w:t>
      </w:r>
      <w:r w:rsidR="00297C58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Шатровского муниципального округа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</w:p>
    <w:p w:rsidR="00D12FE5" w:rsidRPr="00EB4732" w:rsidRDefault="00D12FE5" w:rsidP="00FD7A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B4732">
        <w:rPr>
          <w:rFonts w:ascii="Times New Roman" w:hAnsi="Times New Roman" w:cs="Times New Roman"/>
          <w:sz w:val="24"/>
          <w:szCs w:val="24"/>
        </w:rPr>
        <w:t>РЕШИЛА:</w:t>
      </w:r>
    </w:p>
    <w:p w:rsidR="00B30550" w:rsidRPr="00EB4732" w:rsidRDefault="00B30550" w:rsidP="00B3055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hAnsi="Times New Roman" w:cs="Times New Roman"/>
          <w:sz w:val="24"/>
          <w:szCs w:val="24"/>
        </w:rPr>
        <w:t xml:space="preserve">  1.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благоустройства территории Шатровского муниципального о</w:t>
      </w:r>
      <w:r w:rsidR="0077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круга Курганской области в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 согласно приложению к настоящему решению.</w:t>
      </w:r>
    </w:p>
    <w:p w:rsidR="00FD7AAE" w:rsidRDefault="00FD7AAE" w:rsidP="00B30550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0550"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 дня вступления в силу настоящего ре</w:t>
      </w:r>
      <w:r w:rsidR="00476F4E"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шения признать утратившими силу</w:t>
      </w:r>
      <w:r w:rsid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30550" w:rsidRDefault="00476F4E" w:rsidP="00B30550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7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Шатровской сельской Думы «Об утверждении правил благоустройства</w:t>
      </w:r>
      <w:r w:rsidR="00EB4732"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территории Шатровского сельсов</w:t>
      </w:r>
      <w:r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ета Шатро</w:t>
      </w:r>
      <w:r w:rsidR="00FD7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вского района</w:t>
      </w:r>
      <w:r w:rsidR="002E4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2E44E8" w:rsidRPr="002E44E8">
        <w:t xml:space="preserve"> </w:t>
      </w:r>
      <w:r w:rsidR="002E44E8" w:rsidRPr="002E4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16.08.2019 г. №69</w:t>
      </w:r>
      <w:r w:rsidR="002E4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3500A" w:rsidRPr="0023500A" w:rsidRDefault="00FD7AAE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2) </w:t>
      </w:r>
      <w:r w:rsidR="0023500A"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Бариновской сельской Думы «Об утверждении Правил благоустройства территории Бариновского сельсовета Шатровского района Курганской области» от 12.08.2019 г. №210;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3)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Дальнекубасовской сельской Думы  «Об утверждении Правил благоустройства территории Дальнекубасовского сельсовета Шатровского район</w:t>
      </w:r>
      <w:r w:rsidR="00705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Курганской области» от 28.05. 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153;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Изъедугинской сельской Думы «Об утверждении Правил благоустройства территории Изъедугинского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31.05.2019г.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№116;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Камышевской сельской Думы «Об утверждении Правил благоустройства территории Камышевского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15.08.2019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№132;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Кодской  сельской Думы «Об утверждении Правил благоустройства территории Кодского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14.08.2019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№150;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Кондинской сельской Думы «Об утверждении Правил благоустройства территории Кондинского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25.02.2020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№23;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8)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Кызылбаевской сельской Думы «Об утверждении Правил благоустройства территории Кызылбаевского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19.08.2019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№156;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Мехонской сельской Думы «Об утверждении Правил благоустройства территории Мехонского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21.02.2020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№32;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Мостовской сельской Думы «Об утверждении Правил благоустройства территории Мостовского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27.12.2019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№21;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F4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154BD" w:rsidRPr="006F4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6F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Самохваловской сельской Думы «Об утверждении Правил благоустройства территории Самохваловского сельсовета Шатровского района Курганской области» от</w:t>
      </w:r>
      <w:r w:rsidR="0006628F"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17.01.2020г. </w:t>
      </w:r>
      <w:r w:rsidR="00C3644C"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06628F"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Спицинской сельской Думы «Об утверждении Правил благоустройства территории Спицинского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27.12.2019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№21;</w:t>
      </w:r>
    </w:p>
    <w:p w:rsidR="00FD7AAE" w:rsidRPr="00EB4732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13)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Терсюкской сельской Думы «Об утверждении Правил благоустройства территории Терсюкского сельсовета Шатровского района Курганской 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области» от 07.02.2020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№21.</w:t>
      </w:r>
    </w:p>
    <w:p w:rsidR="0089024A" w:rsidRDefault="00FD7AAE" w:rsidP="00B30550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30550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76033F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Обнародовать </w:t>
      </w:r>
      <w:r w:rsidR="00C36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(опубликовать) </w:t>
      </w:r>
      <w:r w:rsidR="0076033F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 соответствии со ст. 44 Устава Шатровского муниципального округа Курганской области</w:t>
      </w:r>
      <w:r w:rsidR="00806CCA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7AAE" w:rsidRPr="00EB4732" w:rsidRDefault="00FD7AAE" w:rsidP="00B30550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4. Настоящее решение вступает в силу со дня его официального обнародования (опубликования).</w:t>
      </w:r>
    </w:p>
    <w:p w:rsidR="00BB5496" w:rsidRPr="00EB4732" w:rsidRDefault="00FD7AAE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B5496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выполнением настоящего решения возложить на</w:t>
      </w:r>
      <w:r w:rsidR="00F54BD6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постоянную депутатскую комиссию по промышленности, коммунальному хозяйству и торговле.</w:t>
      </w:r>
    </w:p>
    <w:p w:rsidR="00CC0DA9" w:rsidRPr="00EB4732" w:rsidRDefault="00CC0DA9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024A" w:rsidRPr="00EB4732" w:rsidRDefault="0089024A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DA9" w:rsidRPr="00EB4732" w:rsidRDefault="00CC0DA9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F0C" w:rsidRPr="00EB4732" w:rsidRDefault="005E4F0C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Pr="00EB4732" w:rsidRDefault="00AC654F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муниципального округа</w:t>
      </w:r>
      <w:r w:rsidR="00ED00C8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C0DA9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D00C8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П.Н. </w:t>
      </w:r>
      <w:r w:rsidR="00814012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</w:p>
    <w:p w:rsidR="00CC0DA9" w:rsidRDefault="00CC0DA9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Pr="00EB4732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2C" w:rsidRPr="00EB4732" w:rsidRDefault="00B41BF1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Шатровского </w:t>
      </w:r>
    </w:p>
    <w:p w:rsidR="00FA1004" w:rsidRDefault="00630D2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41BF1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DB753E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12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F17EE8" w:rsidRDefault="00FA1004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    </w:t>
      </w:r>
      <w:r w:rsidR="00ED00C8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C0DA9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0D2C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676E9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="00ED00C8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6E9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Рассохин</w:t>
      </w: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0A" w:rsidRDefault="00A4090A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94" w:rsidRDefault="006F4794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FD7AAE" w:rsidTr="00FD7AAE">
        <w:tc>
          <w:tcPr>
            <w:tcW w:w="2990" w:type="pct"/>
          </w:tcPr>
          <w:p w:rsidR="00A4090A" w:rsidRDefault="00A4090A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Hlk103948833"/>
          </w:p>
          <w:p w:rsidR="00A4090A" w:rsidRDefault="00A4090A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7AAE" w:rsidRDefault="00FD7AAE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10" w:type="pct"/>
          </w:tcPr>
          <w:p w:rsidR="00FD7AAE" w:rsidRDefault="00FD7AAE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FD7AAE" w:rsidRDefault="00FD7AAE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Шатровского муниципального округа</w:t>
            </w:r>
          </w:p>
          <w:p w:rsidR="00FD7AAE" w:rsidRPr="00644565" w:rsidRDefault="00644565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27 сентября 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299</w:t>
            </w:r>
            <w:bookmarkStart w:id="1" w:name="_GoBack"/>
            <w:bookmarkEnd w:id="1"/>
          </w:p>
          <w:p w:rsidR="00FD7AAE" w:rsidRDefault="00FD7AAE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Правил благоустройства территории Шатровского муниципального округа Курганской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B4732" w:rsidRPr="00085B72" w:rsidRDefault="00EB4732" w:rsidP="00FD7AAE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EB4732" w:rsidRPr="00CF5C0B" w:rsidRDefault="00EB4732" w:rsidP="00EB4732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CF5C0B" w:rsidRDefault="00EB4732" w:rsidP="00EB473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AAE" w:rsidRPr="00C045E5" w:rsidRDefault="00EB4732" w:rsidP="00EB4732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045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EB4732" w:rsidRPr="00C045E5" w:rsidRDefault="00FD7AAE" w:rsidP="00FD7AAE">
      <w:pPr>
        <w:jc w:val="center"/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</w:pPr>
      <w:bookmarkStart w:id="2" w:name="_Hlk101512676"/>
      <w:r w:rsidRPr="00C045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благоустройства территории Шатровского муниципального округа Курганской области</w:t>
      </w:r>
    </w:p>
    <w:bookmarkEnd w:id="2"/>
    <w:p w:rsidR="00EB4732" w:rsidRPr="00C045E5" w:rsidRDefault="00EB4732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Default="00C045E5" w:rsidP="00BB2A25">
      <w:pPr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EB4732"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Предмет регулирования настоящих Правил</w:t>
      </w:r>
      <w:bookmarkStart w:id="3" w:name="1"/>
      <w:bookmarkEnd w:id="3"/>
    </w:p>
    <w:p w:rsidR="00C045E5" w:rsidRPr="00FD7AAE" w:rsidRDefault="00C045E5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BA0114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="00C045E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Правила благоустройства территории 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Шатровского муниципального округа Курганской области </w:t>
      </w:r>
      <w:r w:rsidR="007756A4" w:rsidRPr="00A4090A">
        <w:rPr>
          <w:rFonts w:eastAsia="Times New Roman" w:cs="Times New Roman"/>
          <w:color w:val="000000"/>
          <w:sz w:val="24"/>
          <w:szCs w:val="24"/>
          <w:lang w:eastAsia="ar-SA"/>
        </w:rPr>
        <w:t>(далее – Правила, округ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соответственно) разработаны в соответствии с Градостроительным кодексом Российской Федерации, Федеральным законом от 06.10.2003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ar-SA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FA1004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Законом Курганской области от 01.03.2019г. №19 «О порядке определения границ прилегающих территорий на территории Курганской области»,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ar-SA"/>
        </w:rPr>
        <w:t>г. № 1042/пр, Уставом Шатровского муниципального округа Курганской области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2. 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C045E5"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округа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>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C045E5"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3. </w:t>
      </w:r>
      <w:bookmarkStart w:id="4" w:name="3"/>
      <w:bookmarkEnd w:id="4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благоустройство территории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Законом Курганской области от 01.03.2019г. №19 «О порядке определения</w:t>
      </w:r>
      <w:r w:rsidR="00FA1004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границ прилегающих территорий на территории Курганской области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уполномоченный орган – Администрация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Шатровского муниципального округа Курганской области (далее – Администрация)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5. Настоящие Правила не распространяются на отношения, связанные: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2A48B6" w:rsidP="002A48B6">
      <w:pPr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Формы и механизмы участия жителей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принятии и реализации решений по благоустройству территории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округа</w:t>
      </w:r>
    </w:p>
    <w:p w:rsidR="002A48B6" w:rsidRPr="00A4090A" w:rsidRDefault="002A48B6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6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. Для осуществления участия жителей в процессе принятия решений и реализации проектов по благоустройству на территории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применяются следующие формы общественного участия: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7.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Информирование осуществляется: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 в информационно-телекоммуникационной сети «Интернет»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Формы общественного участия направлены на наиболее полное включение заинтересованных сторон в проектирование изменений на территории </w:t>
      </w:r>
      <w:r w:rsidRPr="00A4090A">
        <w:t xml:space="preserve">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округа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, на достижение согласия по целям и планам реализации проектов в сфере благоустройства территории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Граждане и организации привлекаются к участию в реализации мероприятий по благоустройству территории </w:t>
      </w:r>
      <w:r w:rsidR="002A48B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на всех этапах реализации проекта благоустройства.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Механизмы общественного участия: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в комплексном благоустройстве отдельных территорий, прилегающих к территориям, благоустраиваемым за счет средств бюджета </w:t>
      </w:r>
      <w:r w:rsidR="002A48B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При реализации проектов благоустройства территории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может обеспечиваться: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б) взаимосвязь пространств </w:t>
      </w:r>
      <w:r w:rsidR="002A48B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</w:t>
      </w:r>
      <w:r w:rsidR="002A48B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ния в округе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г) возможность доступа к основным значимым объектам на территории </w:t>
      </w:r>
      <w:r w:rsidR="00A0029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и за его пределами, где находятся наиболее востребованные для жителей </w:t>
      </w:r>
      <w:r w:rsidR="00A0029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Реализация комплексных проектов благоустройства территории </w:t>
      </w:r>
      <w:r w:rsidR="00A0029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EB4732" w:rsidRPr="00A4090A" w:rsidRDefault="00A0029D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EB4732" w:rsidRPr="00A4090A" w:rsidRDefault="00EB4732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Default="009D11CB" w:rsidP="009D11CB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5" w:name="_Hlk11160493"/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Порядок определения границ прилегающих территорий для це</w:t>
      </w:r>
      <w:r w:rsidR="00A0029D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лей благоустройства в округе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Общие требования по закреплению и содержанию прилегающих территорий</w:t>
      </w:r>
    </w:p>
    <w:p w:rsidR="00CF5C0B" w:rsidRPr="00A4090A" w:rsidRDefault="00CF5C0B" w:rsidP="009D11CB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90CD1" w:rsidRPr="00A4090A" w:rsidRDefault="009D11CB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15. </w:t>
      </w:r>
      <w:r w:rsidR="00490CD1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Границы прилегающей территории определяются в метрах, обозначающих расстояние от внутренней границы до внешней границы прилегающей территории.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16. Границы прилегающих территорий определяются с учетом следующих требований: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при определении границ прилегающей территории в отношении земельного участка - от границ земельного участка;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определении границ прилегающей территории в отношении здания, строения, сооружения: от границ земельного участка - если земельный участок образован; от границ здания, строения, сооружения - если земельный участок не образован;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внутренняя граница прилегающей территории определяется по периметру (по каждой стороне индивидуально) здания, строения, сооружения, земельного участка;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внешняя граница прилегающей территории определяется за пределами границы здания, строения, сооружения, земельного участка;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внешняя граница прилегающей территории не может выходить за пределы территории общего пользования;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границы прилегающей территории имеют один замкнутый контур или несколько непересекающихся замкнутых контуров;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установление общей прилегающей территории для двух и более зданий, строений, сооружений, земельных участков не допускается,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пересечение границ прилегающих территорий не допускается.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17. Минимальное и максимальное расстояния от внутренней границы до внешней границы прилегающей территории устанавливаются с учетом положений пункта 16 настоящих Правил.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18. Устанавливаются следующие минимальное и максимальное расстояния от внутренней границы до внешней границы прилегающей территории: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для индивидуальных жилых домов, домов блокированной застройки, многоквартирных домов - от 2 метров до 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2 метров до 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для нестационарных торговых объектов - от 2 метров до 10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для отдельно стоящих нежилых зданий, отдельно стоящих строений, сооружений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для объектов дорожного сервиса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для автостоянок - от 2 метров до 10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для земельных участков, занятых кладбищами,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8) для земельных участков, на которых расположены строящиеся (реконструируемые) объекты,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9)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подпункта 1 настоящего пункта,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10) для иных зданий, строений, сооружений, для земельных участков, на которых не расположены здания, строения, сооружения, - от 5 метров до 10 метров.</w:t>
      </w:r>
    </w:p>
    <w:p w:rsidR="00523939" w:rsidRPr="00A4090A" w:rsidRDefault="00523939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19. В случае если здание, строение, сооружение, земельный участок расположены в непосредственной близости к дороге, парку, скверу, бульвару,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максимального расстояния, установленного настоящими Правилами.</w:t>
      </w:r>
    </w:p>
    <w:p w:rsidR="00EB4732" w:rsidRPr="00A4090A" w:rsidRDefault="00943C7D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20. Г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раниц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прилегающей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могут быть определены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карты-схемы границ прилегающей территор</w:t>
      </w:r>
      <w:r w:rsidR="00802075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ии осуществляется Администрацией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21. Карта-схема границ прилегающей территории должна содержать следующие сведения: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которых устанавливаются границы прилегающей территории, либо обозначение места расположения объектов, не имеющих адреса, с указанием их наименований и видов;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лица, место нахождения и адрес юридического лица, почтовый адрес индивидуального предпринимателя или физического лица, номера контактных телефонов);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схематическое изображение внутренней границы и внешней границы прилегающей территории здания, строения, сооружения, земельного участка с указанием расстояния от внутренней границы до внешней границы прилегающей территории;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наименование объектов и элементов благоустройства, расположенных между внутренней границей и внешней границей прилегающей территории.</w:t>
      </w:r>
    </w:p>
    <w:p w:rsidR="00EB4732" w:rsidRPr="00A4090A" w:rsidRDefault="00EB4732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6" w:name="_Hlk2023627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7" w:name="_Hlk684486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</w:t>
      </w:r>
      <w:r w:rsidR="003439F8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тся в соответствии с пунктом 22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bookmarkEnd w:id="6"/>
    <w:bookmarkEnd w:id="7"/>
    <w:p w:rsidR="00EB4732" w:rsidRPr="00A4090A" w:rsidRDefault="00EB4732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отсутствие заключенн</w:t>
      </w:r>
      <w:r w:rsidR="003439F8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ого в соответствии с пунктом 22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EB4732" w:rsidRPr="00A4090A" w:rsidRDefault="00051A7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8" w:name="sub_5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10 метров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12) для автозаправочных станций, автогазозаправочных станций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EB4732" w:rsidRPr="00A4090A" w:rsidRDefault="003439F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пределенные согласно пунктам 18 и 22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EB4732" w:rsidRPr="00A4090A" w:rsidRDefault="003439F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Карты – схемы подлежат систематизации и поддержанию в актуальном состоянии.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</w:t>
      </w:r>
      <w:r w:rsidR="003439F8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3439F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8"/>
    </w:p>
    <w:p w:rsidR="00EB4732" w:rsidRPr="00A4090A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3439F8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Общие требования к организации уборки территории 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округа</w:t>
      </w:r>
    </w:p>
    <w:p w:rsidR="00FC1A24" w:rsidRPr="00A4090A" w:rsidRDefault="00FC1A24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эти цели в бюджете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28.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31.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Уборка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производится в утренние часы. Работы по уборке дорог и тротуаров должны быть выполнены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8 часов утра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уборке территории </w:t>
      </w:r>
      <w:r w:rsidR="00053B2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ночное время необходимо принимать меры, предупреждающие шум.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35.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Вывоз скола асфальта при проведении дорожно-ремонтных работ производится организациями, пров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одящими работы: с улиц населенных пунктов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9" w:name="_Hlk8137221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3) обрабатывать прилегающие территории противогололедными реагентами;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="00053B2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EB4732" w:rsidRPr="00A4090A" w:rsidRDefault="00053B22" w:rsidP="00EB4732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</w:t>
      </w:r>
      <w:r w:rsidR="00053B2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 не согласованные с органами санитарно-эпидемиологического надзора и органом по охране окружающей среды;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</w:t>
      </w:r>
      <w:r w:rsidR="00053B2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складировать строительные материалы, мусор на территории общего пользования;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9D4EED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 отсутствия тента или укрытия);</w:t>
      </w:r>
    </w:p>
    <w:p w:rsidR="009D4EED" w:rsidRPr="00A4090A" w:rsidRDefault="009D4EE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мытье автотранспорта, ковров, иных домашних принадлежностей, купание животных в местах, отведенных для отдыха (купания) людей.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42.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 населенных пунктах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43.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44.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Органы местного самоуправления,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EB4732" w:rsidRPr="00A4090A" w:rsidRDefault="00606876" w:rsidP="00606876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14C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45.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46.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47.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48.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Объекты, предназначенные для приема и (или) очистки ЖБО, должны соответствовать требованиям Федерального закона от 07.12.2011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49.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зависимости от условий движения транспорта и пешеходов на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определяется высота уклона поверхности покрытия в целях обеспечения отвода поверхностных вод.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C901B8" w:rsidP="00C901B8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Особенности организ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ации уборки территории округа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7F143E" w:rsidRPr="00A4090A" w:rsidRDefault="007F143E" w:rsidP="00C901B8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55.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</w:t>
      </w:r>
      <w:r w:rsidR="00C901B8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299 «О применении санитарных мер в таможенном союзе».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Период зимней уборки устанавливается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Мероприятия по подготовке уборочной техники к работе в зимний период проводятся владельцами техники в срок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Организации, отвечающие за уборку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(эксплуатационные и подрядные организации), в срок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60.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процессе уборки запрещается: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3" w:name="6"/>
      <w:bookmarkEnd w:id="13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4" w:name="_Hlk22804048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bookmarkEnd w:id="1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66.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</w:t>
      </w:r>
      <w:r w:rsidR="00BF33B5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ределяет Администрация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EB4732" w:rsidRPr="00A4090A" w:rsidRDefault="00EB4732" w:rsidP="00EB4732">
      <w:pPr>
        <w:ind w:firstLine="567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EB4732" w:rsidRDefault="00BF33B5" w:rsidP="00BF33B5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184DAD"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Особенности организа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ции уборки территории округа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7F143E" w:rsidRPr="00A4090A" w:rsidRDefault="007F143E" w:rsidP="00BF33B5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Период летней уборки устанавливается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 16 апреля по 31 октября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1 апреля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Летняя уборка территории </w:t>
      </w:r>
      <w:r w:rsidR="00BF33B5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68.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Проезжая часть должна быть полностью очищена от всякого вида загрязнений. 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73.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Сжигание листьев деревьев, кустарников на территории населенных пунктов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запрещено.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Владельцы земельных участков обязаны: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Default="00DB03AB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184DAD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V</w:t>
      </w:r>
      <w:r w:rsidR="00184DAD"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Обеспечение надлежащего содержания объектов благоустройства </w:t>
      </w:r>
    </w:p>
    <w:p w:rsidR="007F143E" w:rsidRPr="00A4090A" w:rsidRDefault="007F143E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75.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 раз в неделю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зданиях и сооружениях на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79.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300 мм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в белом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черная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в черном цвете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90 мм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140 мм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Размер шрифта наименований улиц применяется всегда одинаковый, не зависит от длины названия улицы. 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Аншлаги устанавливаются на высоте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фасадов объектов включает: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</w:t>
      </w:r>
      <w:r w:rsidR="00DB03AB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</w:t>
      </w:r>
      <w:r w:rsidR="00DB03AB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38-ФЗ «О рекламе»;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Юридическое лицо, индивидуальный предприниматель устанавливает на здании, сооружении одну вывес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ку в соответствии с пунктом 86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Юридическое лицо, индивидуальный предприниматель вправе установить на объекте одну дополнительную вывес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ку в соответствии с пунктом 86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Вывески в форме настенных конструкций и консольных конструкц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ий, предусмотренные пунктом 88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размещаются: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Вывески в форме настенных конструкций, предусмотренные пу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нктом 88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0,5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60%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B03AB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91.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2,5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</w:t>
      </w:r>
      <w:r w:rsidR="00DB03AB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ций, предусмотренные пунктом 78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0,8 м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1,2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Вывески площадью более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6,5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 суток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освещения и осветительного оборудования следует обеспечивать: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</w:t>
      </w:r>
      <w:r w:rsidR="00374FF5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ваемыми Администрацией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проектировании и выборе малых архитектурных форм, в том числе уличной мебели, учитываются: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м) безопасность для потенциальных пользователей.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установке малых архитектурных форм и уличной мебели предусматривается обеспечение: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размещении уличной мебели допускается: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тротуарах автомобильных дорог допускается использовать следующие типы малых архитектурных форм: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урны.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пешеходных зон и коммуникаций допускается использовать следующие типы малых архитектурных форм: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ж) урны.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целях защиты малых архитектурных форм от графического вандализма следует: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целях благоустройства на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могут устанавливаться ограждения.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26038C" w:rsidP="0026038C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Организация пешеходных коммуникаций, в том числе трот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уаров, аллей, дорожек, тропинок</w:t>
      </w:r>
    </w:p>
    <w:p w:rsidR="007F143E" w:rsidRPr="00A4090A" w:rsidRDefault="007F143E" w:rsidP="0026038C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Покрытие пешеходных дорожек должно быть удобным при ходьбе и устойчивым к износу.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Пешеходные коммуникации в составе общественных территорий должны быть хорошо просматриваемыми и освещенными.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основных пешеходных коммуникаций допускается использовать твердые виды покрытия.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второстепенных пешеходных коммуникаций допускается использовать различные виды покрытия: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транспорта для инвалидов.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эффективного использования велосипедных коммуникаций разрешается предусматривать: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136647" w:rsidP="00136647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Обустройство территории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целях обеспечения беспрепятственного передвижения по ней инвалидов и других маломобильных групп населения</w:t>
      </w:r>
    </w:p>
    <w:p w:rsidR="007F143E" w:rsidRPr="00A4090A" w:rsidRDefault="007F143E" w:rsidP="00136647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36647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148.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36647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151.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136647" w:rsidP="00136647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7F143E" w:rsidRPr="00A4090A" w:rsidRDefault="007F143E" w:rsidP="00136647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общественных и дворовых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территориях населенного пункта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могут размещаться в том числе площадки следующих видов: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планировании размеров площадок (функциональных зон площадок) следует учитывать: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Планирование функционала и (или) функциональных зон площадок необходимо осуществлять с учетом: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802075" w:rsidRPr="00A4090A" w:rsidRDefault="00802075" w:rsidP="00136647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136647" w:rsidP="00136647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XI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Парковки (парковочные места)</w:t>
      </w:r>
    </w:p>
    <w:p w:rsidR="00802075" w:rsidRPr="00A4090A" w:rsidRDefault="00802075" w:rsidP="00136647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Парковка общего пользования должна соответствовать требованиям статьи 12 Федерального закона от 29.12.2017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парковках общего пользования выделяются места для стоянки транспортных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средств, управляемых инвалидами, перевозящих инвалидов, в соответствии с законодательством Российской Федерации.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</w:t>
      </w:r>
      <w:r w:rsidR="00136647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65E85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Платная парковка должна соответствовать требованиям, предусмотренным статьями 12 и 13 Федерального закона от 29.12.2017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165E85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EB4732" w:rsidRPr="00A4090A" w:rsidRDefault="00165E8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165E85" w:rsidP="00165E85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XII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Площадки для выгула животных</w:t>
      </w:r>
    </w:p>
    <w:p w:rsidR="00802075" w:rsidRPr="00A4090A" w:rsidRDefault="00802075" w:rsidP="00165E85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Выгул животных разрешается на площадках для выгула животных.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Размеры площадок для выгула животных не должны превышать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600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Ограждение площадки следует выполнять из легкой металлической сетки высотой не менее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1,5 м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Места для размещения площадок, на которых разрешен выгул животных, определяются решением уполномоченного органа.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перечень видов работ по содержанию площадок для выгула животных допускается включать: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EB4732" w:rsidRPr="00A4090A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B219AA" w:rsidP="00B219AA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XIII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802075" w:rsidRPr="00A4090A" w:rsidRDefault="00802075" w:rsidP="00B219AA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Прокладка </w:t>
      </w:r>
      <w:bookmarkStart w:id="23" w:name="_Hlk22308913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Процедура предоставления разрешения на осуществление земляных работ осуществляется на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уполномоченным органом местного самоуправления в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случае проведения земляных работ </w:t>
      </w:r>
      <w:bookmarkStart w:id="24" w:name="_Hlk104286455"/>
      <w:r w:rsidR="00EB4732" w:rsidRPr="00A4090A">
        <w:rPr>
          <w:rFonts w:eastAsia="Times New Roman" w:cs="Times New Roman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4"/>
      <w:r w:rsidR="00EB4732" w:rsidRPr="00A4090A">
        <w:rPr>
          <w:rFonts w:eastAsia="Times New Roman" w:cs="Times New Roman"/>
          <w:sz w:val="24"/>
          <w:szCs w:val="24"/>
          <w:lang w:eastAsia="ru-RU"/>
        </w:rPr>
        <w:t>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5" w:name="_Hlk1056012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</w:t>
      </w:r>
      <w:r w:rsidR="00B219AA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Администрация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bookmarkEnd w:id="25"/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авления, указанный в пункте 190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направляется уведомление о проведении земляных работ по форме, предусмотренной </w:t>
      </w:r>
      <w:hyperlink w:anchor="sub_20000" w:history="1">
        <w:r w:rsidR="00EB4732"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EB4732" w:rsidRPr="00A4090A" w:rsidRDefault="002F39D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6" w:name="_Hlk103945095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27" w:name="_Hlk10816201"/>
      <w:r w:rsidR="00EB4732" w:rsidRPr="00A4090A">
        <w:rPr>
          <w:rFonts w:eastAsia="Times New Roman" w:cs="Calibri"/>
          <w:color w:val="000000"/>
          <w:sz w:val="24"/>
          <w:szCs w:val="24"/>
          <w:lang w:eastAsia="ru-RU"/>
        </w:rPr>
        <w:fldChar w:fldCharType="begin"/>
      </w:r>
      <w:r w:rsidR="00EB4732" w:rsidRPr="00A4090A">
        <w:rPr>
          <w:rFonts w:eastAsia="Times New Roman" w:cs="Calibri"/>
          <w:color w:val="000000"/>
          <w:sz w:val="24"/>
          <w:szCs w:val="24"/>
          <w:lang w:eastAsia="ru-RU"/>
        </w:rPr>
        <w:instrText xml:space="preserve"> HYPERLINK \l "sub_20000" </w:instrText>
      </w:r>
      <w:r w:rsidR="00EB4732" w:rsidRPr="00A4090A">
        <w:rPr>
          <w:rFonts w:eastAsia="Times New Roman" w:cs="Calibri"/>
          <w:color w:val="000000"/>
          <w:sz w:val="24"/>
          <w:szCs w:val="24"/>
          <w:lang w:eastAsia="ru-RU"/>
        </w:rPr>
        <w:fldChar w:fldCharType="separate"/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Приложением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26"/>
      <w:bookmarkEnd w:id="27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и следующие документы: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8" w:name="sub_4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9" w:name="_Hlk1055616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1" w:name="_Hlk10428290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земляных работах и сроках их завершения;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2" w:name="_Hlk1081330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bookmarkEnd w:id="32"/>
      <w:r w:rsidR="004309AF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3" w:name="sub_1004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три дня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4" w:name="sub_1005"/>
      <w:bookmarkEnd w:id="33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Документы и информация, указанн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ые в подпункте 2 и 3 пункта 192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5" w:name="sub_1006"/>
      <w:bookmarkEnd w:id="34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схеме благоустройства земельного участка отображаются: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6" w:name="_Hlk10636188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Отметку о согласовании </w:t>
      </w:r>
      <w:bookmarkStart w:id="37" w:name="_Hlk10814035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37"/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38" w:name="_Hlk10813944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местах движения транспорта и пешеходов</w:t>
      </w:r>
      <w:bookmarkEnd w:id="38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199.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семи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="00EB4732"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пункта 192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9" w:name="sub_1007"/>
      <w:bookmarkEnd w:id="35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0" w:name="sub_1008"/>
      <w:bookmarkEnd w:id="3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Основаниями для отказа в предоставлении разрешения на осуществление земляных работ являются:</w:t>
      </w:r>
    </w:p>
    <w:bookmarkEnd w:id="40"/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="004309AF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192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1" w:name="sub_100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решении об отказе в предоставлении разрешения на осуществление земляных работ должно быть указано основание такого отказ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а, предусмотренное пунктом 201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  <w:bookmarkStart w:id="42" w:name="sub_1010"/>
      <w:bookmarkEnd w:id="41"/>
    </w:p>
    <w:bookmarkEnd w:id="42"/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сутки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повреждении существующих подземных сетей, объектов благоустройства составляется акт произвольной формы с участием предст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авителей Администрации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заинтересованных сторон. В акте указываются характер и причины повреждений, размер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Вскрытие вдоль элементов улично-дорожной сети производится участками длиной: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200 - 300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500 - 600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208.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осуществлении земляных работ, в случаях, ког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да в соответствии с пунктом 190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с твёрдым покрытием тракторов и машин на гусеничном ходу;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3) немедленно устранять течи на коммуникациях.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3" w:name="sub_1011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</w:t>
      </w:r>
      <w:bookmarkStart w:id="44" w:name="_Hlk104284916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="00EB4732"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191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</w:t>
      </w:r>
      <w:bookmarkEnd w:id="44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191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 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 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5" w:name="sub_1012"/>
      <w:bookmarkEnd w:id="43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период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после 15 апреля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6" w:name="sub_103607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31 мая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6"/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7" w:name="sub_1013"/>
      <w:bookmarkEnd w:id="45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8" w:name="sub_1014"/>
      <w:bookmarkEnd w:id="47"/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После завершения осуществления земляных работ на основании разрешения на осуществление земляных работ</w:t>
      </w:r>
      <w:r w:rsidR="00EB4732" w:rsidRPr="00A4090A">
        <w:rPr>
          <w:rFonts w:eastAsia="Times New Roman" w:cs="Times New Roman"/>
          <w:sz w:val="24"/>
          <w:szCs w:val="24"/>
          <w:lang w:eastAsia="ru-RU"/>
        </w:rPr>
        <w:t xml:space="preserve"> либо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уведомлен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ия в соответствии с пунктом 191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="00EB4732"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9" w:name="sub_1015"/>
      <w:bookmarkEnd w:id="48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0" w:name="sub_1016"/>
      <w:bookmarkEnd w:id="4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1" w:name="sub_1017"/>
      <w:bookmarkEnd w:id="50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обеспечения, размешенных в результате проведения земляных работ.</w:t>
      </w:r>
    </w:p>
    <w:bookmarkEnd w:id="51"/>
    <w:p w:rsidR="00EB4732" w:rsidRPr="00A4090A" w:rsidRDefault="00EB4732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BA4A6E" w:rsidP="00BA4A6E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XIV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Посадка зелёных насаждений</w:t>
      </w:r>
    </w:p>
    <w:p w:rsidR="00802075" w:rsidRPr="00A4090A" w:rsidRDefault="00802075" w:rsidP="00BA4A6E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Вертикальная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планировка территории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2" w:name="_Hlk752735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2"/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посадке зелёных насаждений не допускается: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225.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Мероприятия по о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зеленению проводятся в округе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закрытого типа (смыкание крон), при плохом режиме проветривания - открытого, фильтрующего типа (несмыкание крон).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организации озеленения следует сохранять существующие ландшафты.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BA4A6E" w:rsidP="00BA4A6E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Охрана и содержание зелёных насаждений</w:t>
      </w:r>
    </w:p>
    <w:p w:rsidR="00802075" w:rsidRPr="00A4090A" w:rsidRDefault="00802075" w:rsidP="00BA4A6E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3" w:name="_Hlk35262974"/>
      <w:bookmarkStart w:id="54" w:name="_Hlk35260093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тарников на территории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осуществляется при условии получения заинтересованными лицами порубочного билета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="00EB4732" w:rsidRPr="00A4090A">
        <w:rPr>
          <w:rFonts w:eastAsia="Times New Roman" w:cs="Times New Roman"/>
          <w:sz w:val="24"/>
          <w:szCs w:val="24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="00EB4732" w:rsidRPr="00A4090A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(или) разрешения, 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является Администрация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074A9D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твляется на территории 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EB4732" w:rsidRPr="00A4090A" w:rsidRDefault="00074A9D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5" w:name="sub_1004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 пункта 230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 В случае, предусмо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тренном подпунктом 1 пункта 230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5"/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233.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Удаление (снос) деревьев и кустарников осуществляется в срок, установленный в порубочном билете</w:t>
      </w:r>
      <w:bookmarkEnd w:id="53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приложением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5 к настоящим Правилам, с приложением следующих документов: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</w:t>
      </w:r>
      <w:r w:rsidR="00074A9D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ев, предусмотренных пунктом 237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Документы и информация, указанные в подп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унктах 2 - 5 пункта 234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15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</w:t>
      </w:r>
      <w:r w:rsidR="003531EA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ых подпунктами 2 - 4 пункта 234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и (или) разрешения осуществляется за плату, за исключением случаев: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содержанию автомобильных дорог и сетей инженерно-технического обеспечения в их охранных зонах;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A4090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Основаниями для отказа в предоставлении порубочного билета и (или) разрешения являются: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не предоставление документ</w:t>
      </w:r>
      <w:r w:rsidR="003531EA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ов, предусмотренных пунктом 234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3531EA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</w:t>
      </w:r>
      <w:r w:rsidR="003531EA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ся в соответствии с пунктом 237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рабочих дней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рамках мероприятий по содержанию озелененных территорий допускается: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244.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bookmarkEnd w:id="54"/>
    </w:p>
    <w:p w:rsidR="00EB4732" w:rsidRPr="00A4090A" w:rsidRDefault="003531EA" w:rsidP="003531EA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XVI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802075" w:rsidRPr="00A4090A" w:rsidRDefault="00802075" w:rsidP="003531EA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Компенсационное озеленение производится с учётом следующих требований: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56" w:name="_Hlk103948764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56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bookmarkEnd w:id="5"/>
    <w:p w:rsidR="00EB4732" w:rsidRPr="00A4090A" w:rsidRDefault="003531EA" w:rsidP="003531EA">
      <w:pPr>
        <w:ind w:firstLine="567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A4090A">
        <w:rPr>
          <w:rFonts w:eastAsia="Calibri" w:cs="Times New Roman"/>
          <w:b/>
          <w:color w:val="000000"/>
          <w:sz w:val="24"/>
          <w:szCs w:val="24"/>
        </w:rPr>
        <w:t xml:space="preserve">Раздел </w:t>
      </w:r>
      <w:r w:rsidRPr="00A4090A">
        <w:rPr>
          <w:rFonts w:eastAsia="Calibri" w:cs="Times New Roman"/>
          <w:b/>
          <w:color w:val="000000"/>
          <w:sz w:val="24"/>
          <w:szCs w:val="24"/>
          <w:lang w:val="en-US"/>
        </w:rPr>
        <w:t>XVII</w:t>
      </w:r>
      <w:r w:rsidR="00EB4732" w:rsidRPr="00A4090A">
        <w:rPr>
          <w:rFonts w:eastAsia="Calibri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802075" w:rsidRPr="00A4090A" w:rsidRDefault="00802075" w:rsidP="003531EA">
      <w:pPr>
        <w:ind w:firstLine="567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:rsidR="00EB4732" w:rsidRPr="00A4090A" w:rsidRDefault="003531EA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 xml:space="preserve">250. </w:t>
      </w:r>
      <w:r w:rsidR="00EB4732" w:rsidRPr="00A4090A">
        <w:rPr>
          <w:rFonts w:eastAsia="Calibri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осуществляются: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EB4732" w:rsidRPr="00A4090A" w:rsidRDefault="003531EA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 xml:space="preserve">251. </w:t>
      </w:r>
      <w:r w:rsidR="00EB4732" w:rsidRPr="00A4090A">
        <w:rPr>
          <w:rFonts w:eastAsia="Calibri" w:cs="Times New Roman"/>
          <w:color w:val="000000"/>
          <w:sz w:val="24"/>
          <w:szCs w:val="24"/>
        </w:rPr>
        <w:t>В целях своевременного выявления карантинных и ядовитых растений лица, указанные в аб</w:t>
      </w:r>
      <w:r w:rsidR="00A11E4D" w:rsidRPr="00A4090A">
        <w:rPr>
          <w:rFonts w:eastAsia="Calibri" w:cs="Times New Roman"/>
          <w:color w:val="000000"/>
          <w:sz w:val="24"/>
          <w:szCs w:val="24"/>
        </w:rPr>
        <w:t>зацах втором — пятом пункта 250</w:t>
      </w:r>
      <w:r w:rsidR="00EB4732" w:rsidRPr="00A4090A">
        <w:rPr>
          <w:rFonts w:eastAsia="Calibri" w:cs="Times New Roman"/>
          <w:color w:val="000000"/>
          <w:sz w:val="24"/>
          <w:szCs w:val="24"/>
        </w:rPr>
        <w:t xml:space="preserve"> настоящих Правил, собственными силами либо с привлечением третьих лиц (в том числе специализированной организации):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lastRenderedPageBreak/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EB4732" w:rsidRPr="00A4090A" w:rsidRDefault="00A11E4D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252. Лица, указанные в пункте 250</w:t>
      </w:r>
      <w:r w:rsidR="00EB4732" w:rsidRPr="00A4090A">
        <w:rPr>
          <w:rFonts w:eastAsia="Calibri" w:cs="Times New Roman"/>
          <w:color w:val="000000"/>
          <w:sz w:val="24"/>
          <w:szCs w:val="24"/>
        </w:rPr>
        <w:t xml:space="preserve">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EB4732" w:rsidRPr="00A4090A" w:rsidRDefault="00A11E4D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253. Лица, указанные в пункте 250</w:t>
      </w:r>
      <w:r w:rsidR="00EB4732" w:rsidRPr="00A4090A">
        <w:rPr>
          <w:rFonts w:eastAsia="Calibri" w:cs="Times New Roman"/>
          <w:color w:val="000000"/>
          <w:sz w:val="24"/>
          <w:szCs w:val="24"/>
        </w:rPr>
        <w:t xml:space="preserve"> настоящих Правил, обязаны проводить мероприятия по удалению борщевика Сосновского.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Calibri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A11E4D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802075" w:rsidRPr="00A4090A" w:rsidRDefault="00802075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11E4D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254.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A11E4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A11E4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 территории Курганской области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на территории округа осуществляется потребителями в местах (на площадках) накопления твердых коммунальных отходов следующими способами: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в контейнеры, расположенные на контейнерных площадках;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Курганской области (далее - децентрализованный способ).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округа.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Курганской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бункеров.</w:t>
      </w:r>
    </w:p>
    <w:p w:rsidR="00EB4732" w:rsidRPr="00A4090A" w:rsidRDefault="00A11E4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255.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256.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257.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7" w:name="_Hlk67486644"/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</w:t>
      </w:r>
      <w:r w:rsidR="000214D0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3</w:t>
      </w:r>
      <w:bookmarkEnd w:id="57"/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258.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3.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погрузке должны быть очищены от отходов владельцем контейнерной и (или) специальной площадки.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259.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3.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0214D0" w:rsidP="000214D0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802075" w:rsidRPr="00A4090A" w:rsidRDefault="00802075" w:rsidP="000214D0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соответствии с целями его использования.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Во всех случая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х, предусмотренных пунктами 262 и 263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Даты начал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 и окончания выпаса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маршруты и время прогона и выпаса сельскохозяйственных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животных по территории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определяются постан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овлением Администрации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Время прогона и выпаса сельскохозяйственных животных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территории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должно быть определено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аса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маршрутов и времени прогона и выпаса сельскохозяйственных 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животных по территории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для внесения изменений в ранее установленные постановлением Администрации 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даты начала и окончания выпаса, маршруты и время прогона и выпаса сельскохозяйственных животных по территории 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могут проводиться собрания граждан в порядке, определенном законодательством Российской Федерации и муниципал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ьными правовыми актами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ащения в Администрацию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02.05.2006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59-ФЗ «О порядке рассмотрения обращений граждан Российской Федерации».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осуществлении выпаса сельскохозяйственных животных допускается: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осуществлении выпаса и прогона сельскохозяйственных животных запрещается: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выпас сельскохозяйственных животных на неогороженных территориях (пастбищах) без надзора;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EB4732" w:rsidRPr="00A4090A" w:rsidRDefault="000214D0" w:rsidP="000214D0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Праздничное оформление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территории округа</w:t>
      </w:r>
    </w:p>
    <w:p w:rsidR="00802075" w:rsidRPr="00A4090A" w:rsidRDefault="00802075" w:rsidP="000214D0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Праздничное и (или) тематическое оформление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перечень объектов праздничного оформления могут включаться: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 элементам праздничного оформления относятся: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праздничного оформления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счет собственных средств либо в соответствии с муниципальными контрактами, заключенными в пределах средств, предусмотренных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эти цели в бюджете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в порядке, предусмотренном Федеральным законом от 05.04.2013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B364ED" w:rsidRPr="00A4090A" w:rsidRDefault="00EB4732" w:rsidP="00B364E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B364ED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364ED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364ED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364ED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Шатровского </w:t>
      </w:r>
    </w:p>
    <w:p w:rsidR="00802075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 округа</w:t>
      </w:r>
    </w:p>
    <w:p w:rsidR="00B364ED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Курганской области    </w:t>
      </w:r>
      <w:r w:rsidR="00B364E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Л.А.Рассохин</w:t>
      </w:r>
    </w:p>
    <w:p w:rsidR="00802075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02075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02075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02075" w:rsidRPr="00FD7AAE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Pr="00FD7AAE" w:rsidRDefault="007F143E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5B1813">
        <w:tc>
          <w:tcPr>
            <w:tcW w:w="2500" w:type="pct"/>
          </w:tcPr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44C" w:rsidRDefault="00C3644C" w:rsidP="00C3644C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58" w:name="_Hlk103948991"/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58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0" w:history="1">
        <w:r w:rsidRPr="00FD7AAE">
          <w:rPr>
            <w:rFonts w:eastAsia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60" w:name="Par19"/>
      <w:bookmarkEnd w:id="60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61" w:name="_Hlk103949052"/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61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земельный участок 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="007369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62" w:name="_Hlk8640813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62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Администрация:                                     Гражданин или Организация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P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соглашению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4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закреплении прилегающей территории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4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установленных границах</w:t>
            </w:r>
          </w:p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44C" w:rsidRDefault="00C3644C" w:rsidP="00C3644C">
      <w:pPr>
        <w:autoSpaceDE w:val="0"/>
        <w:autoSpaceDN w:val="0"/>
        <w:adjustRightInd w:val="0"/>
        <w:jc w:val="both"/>
        <w:outlineLvl w:val="1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spacing w:after="200"/>
        <w:jc w:val="center"/>
        <w:rPr>
          <w:rFonts w:eastAsia="Calibri" w:cs="Times New Roman"/>
          <w:color w:val="000000"/>
          <w:sz w:val="24"/>
          <w:szCs w:val="24"/>
        </w:rPr>
      </w:pPr>
      <w:bookmarkStart w:id="63" w:name="Par77"/>
      <w:bookmarkEnd w:id="63"/>
      <w:r w:rsidRPr="00FD7AAE">
        <w:rPr>
          <w:rFonts w:eastAsia="Calibri" w:cs="Times New Roman"/>
          <w:color w:val="000000"/>
          <w:sz w:val="24"/>
          <w:szCs w:val="24"/>
        </w:rPr>
        <w:t>КАРТА-СХЕМА ПРИЛЕГАЮЩЕЙ ТЕРРИТОРИИ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1. Местоположение прилегающей территории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4"/>
      </w:r>
      <w:r w:rsidRPr="00FD7AAE">
        <w:rPr>
          <w:rFonts w:eastAsia="Calibri" w:cs="Times New Roman"/>
          <w:color w:val="000000"/>
          <w:sz w:val="24"/>
          <w:szCs w:val="24"/>
        </w:rPr>
        <w:t xml:space="preserve"> (адрес)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5"/>
      </w:r>
      <w:r w:rsidRPr="00FD7AAE">
        <w:rPr>
          <w:rFonts w:eastAsia="Calibri" w:cs="Times New Roman"/>
          <w:color w:val="000000"/>
          <w:sz w:val="24"/>
          <w:szCs w:val="24"/>
        </w:rPr>
        <w:t>: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6"/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(при наличии)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7"/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8"/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Графическое описание: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C3644C" w:rsidRDefault="00C3644C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 xml:space="preserve">Гражданин или Организация </w:t>
      </w:r>
      <w:bookmarkStart w:id="66" w:name="_Hlk6841104"/>
      <w:r w:rsidRPr="00FD7AAE">
        <w:rPr>
          <w:rFonts w:eastAsia="Calibri" w:cs="Times New Roman"/>
          <w:color w:val="000000"/>
          <w:sz w:val="24"/>
          <w:szCs w:val="24"/>
        </w:rPr>
        <w:t>___________ 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bookmarkStart w:id="67" w:name="_Hlk6841184"/>
      <w:bookmarkEnd w:id="66"/>
      <w:r w:rsidRPr="00FD7AAE">
        <w:rPr>
          <w:rFonts w:eastAsia="Calibri" w:cs="Times New Roman"/>
          <w:color w:val="000000"/>
          <w:sz w:val="24"/>
          <w:szCs w:val="24"/>
        </w:rPr>
        <w:lastRenderedPageBreak/>
        <w:t>М.П.</w:t>
      </w:r>
    </w:p>
    <w:bookmarkEnd w:id="67"/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Администрация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 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 xml:space="preserve">   (подпись)                    (расшифровка подписи)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М.П.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Pr="00FD7AAE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заявителя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EB4732" w:rsidRPr="00FD7AAE" w:rsidRDefault="00EB4732" w:rsidP="00EB4732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:rsidR="00EB4732" w:rsidRPr="00FD7AAE" w:rsidRDefault="00EB4732" w:rsidP="00EB4732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EB4732" w:rsidRPr="00FD7AAE" w:rsidTr="00EB4732">
        <w:tc>
          <w:tcPr>
            <w:tcW w:w="445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D7AAE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D7AAE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D7AAE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EB4732" w:rsidRPr="00FD7AAE" w:rsidTr="00EB4732">
        <w:tc>
          <w:tcPr>
            <w:tcW w:w="445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B4732" w:rsidRPr="00FD7AAE" w:rsidTr="00EB4732">
        <w:tc>
          <w:tcPr>
            <w:tcW w:w="445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FD7AAE">
          <w:rPr>
            <w:rFonts w:eastAsia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69" w:name="_Hlk10815552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69"/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0" w:name="sub_10001"/>
      <w:bookmarkEnd w:id="70"/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1" w:name="sub_20000"/>
      <w:bookmarkEnd w:id="71"/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143E" w:rsidRDefault="007F143E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44C" w:rsidRPr="00FD7AAE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ОГРН, ИНН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 сведениями Единого государственного реестра недвижимости, если земельный участок поставлен на кадастровый учет)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="00A40E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D7AAE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FD7AAE">
          <w:rPr>
            <w:rFonts w:eastAsia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4" w:name="sub_20001"/>
      <w:bookmarkStart w:id="75" w:name="_Hlk10818234"/>
      <w:bookmarkEnd w:id="74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лиц)                                                                    является представителем по доверенности)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6" w:name="sub_30000"/>
      <w:bookmarkEnd w:id="75"/>
      <w:bookmarkEnd w:id="76"/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Pr="00FD7AAE" w:rsidRDefault="00C3644C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(Ф.И.О. наименование, адрес Заявителя, производящего земляные работы)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объекта, адрес проведения земляных работ)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7" w:name="_Hlk10815843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77"/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Заявитель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Заявитель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autoSpaceDE w:val="0"/>
        <w:autoSpaceDN w:val="0"/>
        <w:adjustRightInd w:val="0"/>
        <w:ind w:left="1416" w:firstLine="283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EB4732" w:rsidRPr="00FD7AAE" w:rsidRDefault="00EB4732" w:rsidP="00EB4732">
      <w:pPr>
        <w:autoSpaceDE w:val="0"/>
        <w:autoSpaceDN w:val="0"/>
        <w:adjustRightInd w:val="0"/>
        <w:ind w:left="1416" w:firstLine="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ind w:left="1416" w:firstLine="2837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EB4732" w:rsidRPr="00FD7AAE" w:rsidRDefault="00EB4732" w:rsidP="00EB4732">
      <w:pPr>
        <w:autoSpaceDE w:val="0"/>
        <w:autoSpaceDN w:val="0"/>
        <w:adjustRightInd w:val="0"/>
        <w:ind w:left="1416" w:firstLine="2837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место нахождение, ОГРН, ИНН</w:t>
      </w:r>
      <w:r w:rsidRPr="00FD7AAE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2"/>
      </w: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EB4732" w:rsidRPr="00C3644C" w:rsidRDefault="00EB4732" w:rsidP="00EB4732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364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EB4732" w:rsidRPr="00FD7AAE" w:rsidRDefault="00EB4732" w:rsidP="00EB4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EB4732" w:rsidRPr="00FD7AAE" w:rsidRDefault="00EB4732" w:rsidP="00EB4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EB4732" w:rsidRPr="00FD7AAE" w:rsidRDefault="00EB4732" w:rsidP="00EB4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EB4732" w:rsidRPr="00FD7AAE" w:rsidRDefault="00EB4732" w:rsidP="00EB4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пунктом15.5</w:t>
      </w:r>
      <w:r w:rsidRPr="00FD7AAE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1)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2)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3)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13"/>
      </w:r>
    </w:p>
    <w:p w:rsidR="00EB4732" w:rsidRPr="00FD7AAE" w:rsidRDefault="00EB4732" w:rsidP="00EB47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B4732" w:rsidRPr="00FD7AAE" w:rsidTr="00EB473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EB4732" w:rsidRPr="00FD7AAE" w:rsidTr="00EB4732">
        <w:trPr>
          <w:trHeight w:val="514"/>
        </w:trPr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EB4732">
      <w:pPr>
        <w:autoSpaceDE w:val="0"/>
        <w:autoSpaceDN w:val="0"/>
        <w:adjustRightInd w:val="0"/>
        <w:ind w:left="4395"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3644C" w:rsidRDefault="00C3644C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3644C" w:rsidRDefault="00C3644C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3644C" w:rsidRPr="00FD7AAE" w:rsidRDefault="00C3644C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sectPr w:rsidR="00C3644C" w:rsidRPr="00FD7AAE" w:rsidSect="00DB753E">
      <w:headerReference w:type="default" r:id="rId13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02" w:rsidRDefault="009A5402" w:rsidP="004E3F8F">
      <w:r>
        <w:separator/>
      </w:r>
    </w:p>
  </w:endnote>
  <w:endnote w:type="continuationSeparator" w:id="0">
    <w:p w:rsidR="009A5402" w:rsidRDefault="009A5402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02" w:rsidRDefault="009A5402" w:rsidP="004E3F8F">
      <w:r>
        <w:separator/>
      </w:r>
    </w:p>
  </w:footnote>
  <w:footnote w:type="continuationSeparator" w:id="0">
    <w:p w:rsidR="009A5402" w:rsidRDefault="009A5402" w:rsidP="004E3F8F">
      <w:r>
        <w:continuationSeparator/>
      </w:r>
    </w:p>
  </w:footnote>
  <w:footnote w:id="1">
    <w:p w:rsidR="00C56B08" w:rsidRDefault="00C56B08" w:rsidP="00EB4732">
      <w:pPr>
        <w:pStyle w:val="ad"/>
        <w:jc w:val="both"/>
      </w:pPr>
      <w:r>
        <w:rPr>
          <w:rStyle w:val="af1"/>
        </w:rPr>
        <w:footnoteRef/>
      </w:r>
      <w:bookmarkStart w:id="59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59"/>
    </w:p>
  </w:footnote>
  <w:footnote w:id="2">
    <w:p w:rsidR="00C56B08" w:rsidRDefault="00C56B08" w:rsidP="00EB4732">
      <w:pPr>
        <w:pStyle w:val="ad"/>
      </w:pPr>
      <w:r>
        <w:rPr>
          <w:rStyle w:val="af1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</w:t>
      </w:r>
    </w:p>
  </w:footnote>
  <w:footnote w:id="3">
    <w:p w:rsidR="00C56B08" w:rsidRDefault="00C56B08" w:rsidP="00EB4732">
      <w:pPr>
        <w:pStyle w:val="ad"/>
      </w:pPr>
      <w:r>
        <w:rPr>
          <w:rStyle w:val="af1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C56B08" w:rsidRDefault="00C56B08" w:rsidP="00EB4732">
      <w:pPr>
        <w:pStyle w:val="ad"/>
        <w:jc w:val="both"/>
      </w:pPr>
      <w:r>
        <w:rPr>
          <w:rStyle w:val="af1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C56B08" w:rsidRDefault="00C56B08" w:rsidP="00EB4732">
      <w:pPr>
        <w:pStyle w:val="ad"/>
        <w:jc w:val="both"/>
      </w:pPr>
      <w:r>
        <w:rPr>
          <w:rStyle w:val="af1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C56B08" w:rsidRDefault="00C56B08" w:rsidP="00EB4732">
      <w:pPr>
        <w:pStyle w:val="ad"/>
        <w:jc w:val="both"/>
      </w:pPr>
      <w:r>
        <w:rPr>
          <w:rStyle w:val="af1"/>
        </w:rPr>
        <w:footnoteRef/>
      </w:r>
      <w:bookmarkStart w:id="64" w:name="_Hlk6840896"/>
      <w:r>
        <w:t>Данное условие не является обязательным и может исключено</w:t>
      </w:r>
      <w:bookmarkEnd w:id="64"/>
    </w:p>
  </w:footnote>
  <w:footnote w:id="7">
    <w:p w:rsidR="00C56B08" w:rsidRDefault="00C56B08" w:rsidP="00EB4732">
      <w:pPr>
        <w:pStyle w:val="ad"/>
        <w:jc w:val="both"/>
      </w:pPr>
      <w:r>
        <w:rPr>
          <w:rStyle w:val="af1"/>
        </w:rPr>
        <w:footnoteRef/>
      </w:r>
      <w:bookmarkStart w:id="65" w:name="_Hlk6840934"/>
      <w:r w:rsidRPr="00E338D5">
        <w:t>Данное условие не является обязательным и может исключено</w:t>
      </w:r>
      <w:bookmarkEnd w:id="65"/>
    </w:p>
  </w:footnote>
  <w:footnote w:id="8">
    <w:p w:rsidR="00C56B08" w:rsidRDefault="00C56B08" w:rsidP="00EB4732">
      <w:pPr>
        <w:pStyle w:val="ad"/>
        <w:jc w:val="both"/>
      </w:pPr>
      <w:r>
        <w:rPr>
          <w:rStyle w:val="af1"/>
        </w:rPr>
        <w:footnoteRef/>
      </w:r>
      <w:r w:rsidRPr="00E338D5">
        <w:t>Данное условие не является обязательным и может исключено</w:t>
      </w:r>
    </w:p>
  </w:footnote>
  <w:footnote w:id="9">
    <w:p w:rsidR="00C56B08" w:rsidRPr="00745BB0" w:rsidRDefault="00C56B08" w:rsidP="00EB4732">
      <w:pPr>
        <w:pStyle w:val="ad"/>
      </w:pPr>
      <w:r>
        <w:rPr>
          <w:rStyle w:val="af1"/>
        </w:rPr>
        <w:footnoteRef/>
      </w:r>
      <w:bookmarkStart w:id="68" w:name="_Hlk10815311"/>
      <w:r w:rsidRPr="00745BB0">
        <w:t>Указывается в случае, если заявителем является физическое лицо.</w:t>
      </w:r>
      <w:bookmarkEnd w:id="68"/>
    </w:p>
    <w:p w:rsidR="00C56B08" w:rsidRDefault="00C56B08" w:rsidP="00EB4732">
      <w:pPr>
        <w:pStyle w:val="ad"/>
      </w:pPr>
    </w:p>
  </w:footnote>
  <w:footnote w:id="10">
    <w:p w:rsidR="00C56B08" w:rsidRDefault="00C56B08" w:rsidP="00EB4732">
      <w:pPr>
        <w:pStyle w:val="ad"/>
      </w:pPr>
      <w:r>
        <w:rPr>
          <w:rStyle w:val="af1"/>
        </w:rPr>
        <w:footnoteRef/>
      </w:r>
      <w:bookmarkStart w:id="72" w:name="_Hlk10818001"/>
      <w:r w:rsidRPr="00745BB0">
        <w:t>ОГРН и ИНН не указываются в отношении иностранных юридических лиц</w:t>
      </w:r>
      <w:bookmarkEnd w:id="72"/>
    </w:p>
  </w:footnote>
  <w:footnote w:id="11">
    <w:p w:rsidR="00C56B08" w:rsidRDefault="00C56B08" w:rsidP="00EB4732">
      <w:pPr>
        <w:pStyle w:val="ad"/>
      </w:pPr>
      <w:r>
        <w:rPr>
          <w:rStyle w:val="af1"/>
        </w:rPr>
        <w:footnoteRef/>
      </w:r>
      <w:bookmarkStart w:id="73" w:name="_Hlk10818212"/>
      <w:r w:rsidRPr="00745BB0">
        <w:t>Указывается в случае, если заявителем является физическое лицо.</w:t>
      </w:r>
      <w:bookmarkEnd w:id="73"/>
    </w:p>
  </w:footnote>
  <w:footnote w:id="12">
    <w:p w:rsidR="00C56B08" w:rsidRPr="00643FD6" w:rsidRDefault="00C56B08" w:rsidP="00EB4732">
      <w:pPr>
        <w:pStyle w:val="ad"/>
      </w:pPr>
      <w:r w:rsidRPr="00643FD6">
        <w:rPr>
          <w:rStyle w:val="af1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3">
    <w:p w:rsidR="00C56B08" w:rsidRPr="006929FB" w:rsidRDefault="00C56B08" w:rsidP="00EB4732">
      <w:pPr>
        <w:pStyle w:val="ad"/>
      </w:pPr>
      <w:r w:rsidRPr="00C838DD">
        <w:rPr>
          <w:rStyle w:val="af1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08" w:rsidRDefault="00C56B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9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7"/>
  </w:num>
  <w:num w:numId="5">
    <w:abstractNumId w:val="15"/>
  </w:num>
  <w:num w:numId="6">
    <w:abstractNumId w:val="3"/>
  </w:num>
  <w:num w:numId="7">
    <w:abstractNumId w:val="6"/>
  </w:num>
  <w:num w:numId="8">
    <w:abstractNumId w:val="16"/>
  </w:num>
  <w:num w:numId="9">
    <w:abstractNumId w:val="19"/>
  </w:num>
  <w:num w:numId="10">
    <w:abstractNumId w:val="10"/>
  </w:num>
  <w:num w:numId="11">
    <w:abstractNumId w:val="9"/>
  </w:num>
  <w:num w:numId="12">
    <w:abstractNumId w:val="20"/>
  </w:num>
  <w:num w:numId="13">
    <w:abstractNumId w:val="13"/>
  </w:num>
  <w:num w:numId="14">
    <w:abstractNumId w:val="23"/>
  </w:num>
  <w:num w:numId="15">
    <w:abstractNumId w:val="22"/>
  </w:num>
  <w:num w:numId="16">
    <w:abstractNumId w:val="4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7"/>
  </w:num>
  <w:num w:numId="24">
    <w:abstractNumId w:val="14"/>
  </w:num>
  <w:num w:numId="25">
    <w:abstractNumId w:val="21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14D0"/>
    <w:rsid w:val="0002246E"/>
    <w:rsid w:val="0002290A"/>
    <w:rsid w:val="00031FAD"/>
    <w:rsid w:val="00042929"/>
    <w:rsid w:val="00044692"/>
    <w:rsid w:val="000453BF"/>
    <w:rsid w:val="00051A70"/>
    <w:rsid w:val="00052D97"/>
    <w:rsid w:val="00053B22"/>
    <w:rsid w:val="00062CC3"/>
    <w:rsid w:val="00063F8A"/>
    <w:rsid w:val="0006628F"/>
    <w:rsid w:val="00067468"/>
    <w:rsid w:val="00074A9D"/>
    <w:rsid w:val="00074B15"/>
    <w:rsid w:val="0007555B"/>
    <w:rsid w:val="000853ED"/>
    <w:rsid w:val="00087A63"/>
    <w:rsid w:val="00090856"/>
    <w:rsid w:val="000922B6"/>
    <w:rsid w:val="000B3E14"/>
    <w:rsid w:val="000C7087"/>
    <w:rsid w:val="000E0523"/>
    <w:rsid w:val="000F586E"/>
    <w:rsid w:val="00106DD0"/>
    <w:rsid w:val="00113EEF"/>
    <w:rsid w:val="001154BD"/>
    <w:rsid w:val="0012332B"/>
    <w:rsid w:val="00125BD1"/>
    <w:rsid w:val="00135B2D"/>
    <w:rsid w:val="00136647"/>
    <w:rsid w:val="0014595D"/>
    <w:rsid w:val="0015647C"/>
    <w:rsid w:val="00165E85"/>
    <w:rsid w:val="0017000B"/>
    <w:rsid w:val="001706DC"/>
    <w:rsid w:val="0017651D"/>
    <w:rsid w:val="0018370A"/>
    <w:rsid w:val="00184DAD"/>
    <w:rsid w:val="0019133B"/>
    <w:rsid w:val="00191503"/>
    <w:rsid w:val="00193DB0"/>
    <w:rsid w:val="0019668F"/>
    <w:rsid w:val="001A0549"/>
    <w:rsid w:val="001A6E0C"/>
    <w:rsid w:val="001A71C3"/>
    <w:rsid w:val="001B003B"/>
    <w:rsid w:val="001B1888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00A"/>
    <w:rsid w:val="00235100"/>
    <w:rsid w:val="00236E1D"/>
    <w:rsid w:val="0026038C"/>
    <w:rsid w:val="0028462E"/>
    <w:rsid w:val="00295B3F"/>
    <w:rsid w:val="00297175"/>
    <w:rsid w:val="00297C58"/>
    <w:rsid w:val="002A48B6"/>
    <w:rsid w:val="002B3AD0"/>
    <w:rsid w:val="002B7B5E"/>
    <w:rsid w:val="002B7ED9"/>
    <w:rsid w:val="002C6166"/>
    <w:rsid w:val="002C7902"/>
    <w:rsid w:val="002D3211"/>
    <w:rsid w:val="002E44E8"/>
    <w:rsid w:val="002E53C8"/>
    <w:rsid w:val="002F1F6A"/>
    <w:rsid w:val="002F39D7"/>
    <w:rsid w:val="002F3D3E"/>
    <w:rsid w:val="003055FE"/>
    <w:rsid w:val="0031760B"/>
    <w:rsid w:val="0032339A"/>
    <w:rsid w:val="00324BAD"/>
    <w:rsid w:val="00335071"/>
    <w:rsid w:val="00337B8D"/>
    <w:rsid w:val="003439F8"/>
    <w:rsid w:val="003531EA"/>
    <w:rsid w:val="0035416D"/>
    <w:rsid w:val="00354426"/>
    <w:rsid w:val="0036026B"/>
    <w:rsid w:val="00374FF5"/>
    <w:rsid w:val="0038253F"/>
    <w:rsid w:val="003876E0"/>
    <w:rsid w:val="003907B2"/>
    <w:rsid w:val="003A2C07"/>
    <w:rsid w:val="003A4B8D"/>
    <w:rsid w:val="003A6080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09AF"/>
    <w:rsid w:val="00431179"/>
    <w:rsid w:val="004323E6"/>
    <w:rsid w:val="004366A0"/>
    <w:rsid w:val="00446FF1"/>
    <w:rsid w:val="0044787B"/>
    <w:rsid w:val="00453A75"/>
    <w:rsid w:val="0046089E"/>
    <w:rsid w:val="00474854"/>
    <w:rsid w:val="00476F4E"/>
    <w:rsid w:val="00483FA0"/>
    <w:rsid w:val="00490CD1"/>
    <w:rsid w:val="0049247F"/>
    <w:rsid w:val="004960C1"/>
    <w:rsid w:val="004B48C0"/>
    <w:rsid w:val="004E1457"/>
    <w:rsid w:val="004E3F8F"/>
    <w:rsid w:val="004F2202"/>
    <w:rsid w:val="00501C45"/>
    <w:rsid w:val="0050228F"/>
    <w:rsid w:val="00502A27"/>
    <w:rsid w:val="00512F6B"/>
    <w:rsid w:val="00515898"/>
    <w:rsid w:val="00516408"/>
    <w:rsid w:val="00522146"/>
    <w:rsid w:val="00523939"/>
    <w:rsid w:val="00526676"/>
    <w:rsid w:val="00561129"/>
    <w:rsid w:val="005670C1"/>
    <w:rsid w:val="00576AB7"/>
    <w:rsid w:val="00580F26"/>
    <w:rsid w:val="00585ACB"/>
    <w:rsid w:val="005A45F8"/>
    <w:rsid w:val="005A5017"/>
    <w:rsid w:val="005B1813"/>
    <w:rsid w:val="005C249F"/>
    <w:rsid w:val="005D2E0D"/>
    <w:rsid w:val="005E3428"/>
    <w:rsid w:val="005E4F0C"/>
    <w:rsid w:val="005E5217"/>
    <w:rsid w:val="005E6420"/>
    <w:rsid w:val="005F36D8"/>
    <w:rsid w:val="005F5726"/>
    <w:rsid w:val="00602AC7"/>
    <w:rsid w:val="00602B3A"/>
    <w:rsid w:val="00602BD4"/>
    <w:rsid w:val="00604817"/>
    <w:rsid w:val="00606876"/>
    <w:rsid w:val="00607911"/>
    <w:rsid w:val="00610F19"/>
    <w:rsid w:val="00611AD1"/>
    <w:rsid w:val="00616B33"/>
    <w:rsid w:val="00620687"/>
    <w:rsid w:val="00621A1B"/>
    <w:rsid w:val="00630D2C"/>
    <w:rsid w:val="00634FBB"/>
    <w:rsid w:val="00644565"/>
    <w:rsid w:val="00644C17"/>
    <w:rsid w:val="00661672"/>
    <w:rsid w:val="00665E28"/>
    <w:rsid w:val="00680F89"/>
    <w:rsid w:val="00696726"/>
    <w:rsid w:val="006B6508"/>
    <w:rsid w:val="006C1D5C"/>
    <w:rsid w:val="006C2E2A"/>
    <w:rsid w:val="006C6EA7"/>
    <w:rsid w:val="006D7431"/>
    <w:rsid w:val="006E12F8"/>
    <w:rsid w:val="006E32CF"/>
    <w:rsid w:val="006E5E6E"/>
    <w:rsid w:val="006F0987"/>
    <w:rsid w:val="006F4794"/>
    <w:rsid w:val="00701465"/>
    <w:rsid w:val="00702CAD"/>
    <w:rsid w:val="007056FA"/>
    <w:rsid w:val="00721633"/>
    <w:rsid w:val="00733D16"/>
    <w:rsid w:val="007369AF"/>
    <w:rsid w:val="00741249"/>
    <w:rsid w:val="00742A9A"/>
    <w:rsid w:val="00754254"/>
    <w:rsid w:val="0076033F"/>
    <w:rsid w:val="00764FAF"/>
    <w:rsid w:val="007756A4"/>
    <w:rsid w:val="00775A22"/>
    <w:rsid w:val="00783429"/>
    <w:rsid w:val="007859B1"/>
    <w:rsid w:val="007C27CB"/>
    <w:rsid w:val="007C42B1"/>
    <w:rsid w:val="007E46EB"/>
    <w:rsid w:val="007F06CC"/>
    <w:rsid w:val="007F143E"/>
    <w:rsid w:val="00802075"/>
    <w:rsid w:val="0080365F"/>
    <w:rsid w:val="00806CCA"/>
    <w:rsid w:val="00814012"/>
    <w:rsid w:val="00820C8C"/>
    <w:rsid w:val="00824277"/>
    <w:rsid w:val="00834079"/>
    <w:rsid w:val="00835B2B"/>
    <w:rsid w:val="008548D3"/>
    <w:rsid w:val="0085536C"/>
    <w:rsid w:val="00855BD1"/>
    <w:rsid w:val="00857566"/>
    <w:rsid w:val="008614C6"/>
    <w:rsid w:val="00861C96"/>
    <w:rsid w:val="00866470"/>
    <w:rsid w:val="0087026F"/>
    <w:rsid w:val="00876B31"/>
    <w:rsid w:val="00887C39"/>
    <w:rsid w:val="0089024A"/>
    <w:rsid w:val="008947C3"/>
    <w:rsid w:val="008A0C53"/>
    <w:rsid w:val="008A18D6"/>
    <w:rsid w:val="008A5F27"/>
    <w:rsid w:val="008B4137"/>
    <w:rsid w:val="008D28DD"/>
    <w:rsid w:val="008D59F5"/>
    <w:rsid w:val="008D62B9"/>
    <w:rsid w:val="008E1035"/>
    <w:rsid w:val="008E3D5E"/>
    <w:rsid w:val="008E5BDD"/>
    <w:rsid w:val="008E73F6"/>
    <w:rsid w:val="008F0A49"/>
    <w:rsid w:val="0090107C"/>
    <w:rsid w:val="00912588"/>
    <w:rsid w:val="00924380"/>
    <w:rsid w:val="009328F7"/>
    <w:rsid w:val="00943C7D"/>
    <w:rsid w:val="00961E38"/>
    <w:rsid w:val="009633B6"/>
    <w:rsid w:val="00966BBA"/>
    <w:rsid w:val="0098042D"/>
    <w:rsid w:val="009A5402"/>
    <w:rsid w:val="009B6E4A"/>
    <w:rsid w:val="009C0F17"/>
    <w:rsid w:val="009C147E"/>
    <w:rsid w:val="009C7B65"/>
    <w:rsid w:val="009D097F"/>
    <w:rsid w:val="009D11CB"/>
    <w:rsid w:val="009D4EED"/>
    <w:rsid w:val="009E0551"/>
    <w:rsid w:val="009E2735"/>
    <w:rsid w:val="009E7101"/>
    <w:rsid w:val="009F495A"/>
    <w:rsid w:val="009F7BA2"/>
    <w:rsid w:val="00A0029D"/>
    <w:rsid w:val="00A11E4D"/>
    <w:rsid w:val="00A20C58"/>
    <w:rsid w:val="00A22B7A"/>
    <w:rsid w:val="00A268D3"/>
    <w:rsid w:val="00A30E7E"/>
    <w:rsid w:val="00A37151"/>
    <w:rsid w:val="00A4090A"/>
    <w:rsid w:val="00A40EA9"/>
    <w:rsid w:val="00A41C6E"/>
    <w:rsid w:val="00A50BA9"/>
    <w:rsid w:val="00A558C0"/>
    <w:rsid w:val="00A63F17"/>
    <w:rsid w:val="00A65777"/>
    <w:rsid w:val="00AB2757"/>
    <w:rsid w:val="00AC1AA6"/>
    <w:rsid w:val="00AC654F"/>
    <w:rsid w:val="00AD606C"/>
    <w:rsid w:val="00AF3E7D"/>
    <w:rsid w:val="00AF651A"/>
    <w:rsid w:val="00B03414"/>
    <w:rsid w:val="00B11839"/>
    <w:rsid w:val="00B14742"/>
    <w:rsid w:val="00B219AA"/>
    <w:rsid w:val="00B24927"/>
    <w:rsid w:val="00B30550"/>
    <w:rsid w:val="00B364ED"/>
    <w:rsid w:val="00B36E26"/>
    <w:rsid w:val="00B41BF1"/>
    <w:rsid w:val="00B430B3"/>
    <w:rsid w:val="00B82F36"/>
    <w:rsid w:val="00B93BCE"/>
    <w:rsid w:val="00B95A04"/>
    <w:rsid w:val="00B9763E"/>
    <w:rsid w:val="00BA0114"/>
    <w:rsid w:val="00BA3DD4"/>
    <w:rsid w:val="00BA4A6E"/>
    <w:rsid w:val="00BB2A25"/>
    <w:rsid w:val="00BB5496"/>
    <w:rsid w:val="00BD6693"/>
    <w:rsid w:val="00BD71D5"/>
    <w:rsid w:val="00BD73FE"/>
    <w:rsid w:val="00BF1D3E"/>
    <w:rsid w:val="00BF33B5"/>
    <w:rsid w:val="00C045E5"/>
    <w:rsid w:val="00C06E3D"/>
    <w:rsid w:val="00C16238"/>
    <w:rsid w:val="00C3644C"/>
    <w:rsid w:val="00C433E8"/>
    <w:rsid w:val="00C47339"/>
    <w:rsid w:val="00C530A0"/>
    <w:rsid w:val="00C56B08"/>
    <w:rsid w:val="00C64418"/>
    <w:rsid w:val="00C7749F"/>
    <w:rsid w:val="00C8111C"/>
    <w:rsid w:val="00C818DA"/>
    <w:rsid w:val="00C901B8"/>
    <w:rsid w:val="00CA0107"/>
    <w:rsid w:val="00CB23D8"/>
    <w:rsid w:val="00CC0DA9"/>
    <w:rsid w:val="00CC456B"/>
    <w:rsid w:val="00CC60C0"/>
    <w:rsid w:val="00CD63FF"/>
    <w:rsid w:val="00CD667D"/>
    <w:rsid w:val="00CE08CD"/>
    <w:rsid w:val="00CF1F59"/>
    <w:rsid w:val="00CF5C0B"/>
    <w:rsid w:val="00CF7545"/>
    <w:rsid w:val="00D057E2"/>
    <w:rsid w:val="00D06CBD"/>
    <w:rsid w:val="00D074B5"/>
    <w:rsid w:val="00D10D02"/>
    <w:rsid w:val="00D12FE5"/>
    <w:rsid w:val="00D316D9"/>
    <w:rsid w:val="00D371C1"/>
    <w:rsid w:val="00D439B8"/>
    <w:rsid w:val="00D43B39"/>
    <w:rsid w:val="00D508CE"/>
    <w:rsid w:val="00D521C5"/>
    <w:rsid w:val="00D55217"/>
    <w:rsid w:val="00D64580"/>
    <w:rsid w:val="00D700B3"/>
    <w:rsid w:val="00D83E22"/>
    <w:rsid w:val="00D9088A"/>
    <w:rsid w:val="00D96128"/>
    <w:rsid w:val="00D97D8A"/>
    <w:rsid w:val="00DA30B7"/>
    <w:rsid w:val="00DB03AB"/>
    <w:rsid w:val="00DB444C"/>
    <w:rsid w:val="00DB58AE"/>
    <w:rsid w:val="00DB63BA"/>
    <w:rsid w:val="00DB753E"/>
    <w:rsid w:val="00DC52EC"/>
    <w:rsid w:val="00DD4DCB"/>
    <w:rsid w:val="00DE4FA4"/>
    <w:rsid w:val="00DE7133"/>
    <w:rsid w:val="00DF70D7"/>
    <w:rsid w:val="00E004B5"/>
    <w:rsid w:val="00E01AA5"/>
    <w:rsid w:val="00E0428D"/>
    <w:rsid w:val="00E14129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973B6"/>
    <w:rsid w:val="00EB4732"/>
    <w:rsid w:val="00EC297C"/>
    <w:rsid w:val="00EC5517"/>
    <w:rsid w:val="00EC6D58"/>
    <w:rsid w:val="00ED00C8"/>
    <w:rsid w:val="00ED559C"/>
    <w:rsid w:val="00ED579E"/>
    <w:rsid w:val="00EE270A"/>
    <w:rsid w:val="00EE551A"/>
    <w:rsid w:val="00EE6596"/>
    <w:rsid w:val="00EF3EC0"/>
    <w:rsid w:val="00F03195"/>
    <w:rsid w:val="00F061DC"/>
    <w:rsid w:val="00F13D0B"/>
    <w:rsid w:val="00F17499"/>
    <w:rsid w:val="00F17EE8"/>
    <w:rsid w:val="00F21108"/>
    <w:rsid w:val="00F23569"/>
    <w:rsid w:val="00F4346D"/>
    <w:rsid w:val="00F462E1"/>
    <w:rsid w:val="00F466B3"/>
    <w:rsid w:val="00F52E87"/>
    <w:rsid w:val="00F53980"/>
    <w:rsid w:val="00F54BD6"/>
    <w:rsid w:val="00F54BEF"/>
    <w:rsid w:val="00F571F5"/>
    <w:rsid w:val="00F604F2"/>
    <w:rsid w:val="00F605A5"/>
    <w:rsid w:val="00F66F21"/>
    <w:rsid w:val="00F6783A"/>
    <w:rsid w:val="00F742D1"/>
    <w:rsid w:val="00F82CAB"/>
    <w:rsid w:val="00F83AA5"/>
    <w:rsid w:val="00F9024C"/>
    <w:rsid w:val="00F956FB"/>
    <w:rsid w:val="00FA1004"/>
    <w:rsid w:val="00FB0F91"/>
    <w:rsid w:val="00FB60F9"/>
    <w:rsid w:val="00FC1A24"/>
    <w:rsid w:val="00FD46BC"/>
    <w:rsid w:val="00FD7AAE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C707"/>
  <w15:docId w15:val="{177B6E65-E382-4DAA-BBA1-195F724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4C"/>
  </w:style>
  <w:style w:type="paragraph" w:styleId="1">
    <w:name w:val="heading 1"/>
    <w:basedOn w:val="a"/>
    <w:next w:val="a"/>
    <w:link w:val="10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EB47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99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3F8F"/>
  </w:style>
  <w:style w:type="paragraph" w:styleId="ab">
    <w:name w:val="footer"/>
    <w:basedOn w:val="a"/>
    <w:link w:val="ac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aliases w:val="5"/>
    <w:uiPriority w:val="99"/>
    <w:unhideWhenUsed/>
    <w:rsid w:val="00BB5496"/>
    <w:rPr>
      <w:vertAlign w:val="superscript"/>
    </w:rPr>
  </w:style>
  <w:style w:type="character" w:customStyle="1" w:styleId="40">
    <w:name w:val="Заголовок 4 Знак"/>
    <w:basedOn w:val="a0"/>
    <w:link w:val="4"/>
    <w:rsid w:val="00EB4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4732"/>
  </w:style>
  <w:style w:type="paragraph" w:customStyle="1" w:styleId="ConsPlusTitle">
    <w:name w:val="ConsPlusTitle"/>
    <w:uiPriority w:val="99"/>
    <w:rsid w:val="00EB4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qFormat/>
    <w:rsid w:val="00EB4732"/>
    <w:rPr>
      <w:b/>
      <w:bCs/>
    </w:rPr>
  </w:style>
  <w:style w:type="paragraph" w:styleId="af3">
    <w:name w:val="Normal (Web)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EB4732"/>
  </w:style>
  <w:style w:type="character" w:styleId="af5">
    <w:name w:val="FollowedHyperlink"/>
    <w:rsid w:val="00EB4732"/>
    <w:rPr>
      <w:color w:val="800080"/>
      <w:u w:val="single"/>
    </w:rPr>
  </w:style>
  <w:style w:type="character" w:customStyle="1" w:styleId="af6">
    <w:name w:val="Цветовое выделение"/>
    <w:rsid w:val="00EB4732"/>
    <w:rPr>
      <w:b/>
      <w:bCs/>
      <w:color w:val="000080"/>
      <w:szCs w:val="20"/>
    </w:rPr>
  </w:style>
  <w:style w:type="character" w:customStyle="1" w:styleId="af7">
    <w:name w:val="Гипертекстовая ссылка"/>
    <w:rsid w:val="00EB4732"/>
    <w:rPr>
      <w:b/>
      <w:bCs/>
      <w:color w:val="00800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EB473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rsid w:val="00EB4732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EB4732"/>
    <w:pPr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semiHidden/>
    <w:rsid w:val="00EB4732"/>
    <w:rPr>
      <w:sz w:val="16"/>
      <w:szCs w:val="16"/>
    </w:rPr>
  </w:style>
  <w:style w:type="paragraph" w:customStyle="1" w:styleId="ConsNormal">
    <w:name w:val="ConsNormal"/>
    <w:rsid w:val="00EB47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7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B473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EB4732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EB4732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EB4732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EB473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EB4732"/>
    <w:rPr>
      <w:rFonts w:ascii="Calibri" w:eastAsia="Times New Roman" w:hAnsi="Calibri" w:cs="Calibri"/>
      <w:sz w:val="22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customStyle="1" w:styleId="s3">
    <w:name w:val="s_3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EB4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6D05-AAF2-4438-87E7-E2A0217D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61</Pages>
  <Words>29062</Words>
  <Characters>165659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48</cp:revision>
  <cp:lastPrinted>2022-09-22T11:16:00Z</cp:lastPrinted>
  <dcterms:created xsi:type="dcterms:W3CDTF">2022-06-09T06:01:00Z</dcterms:created>
  <dcterms:modified xsi:type="dcterms:W3CDTF">2022-09-28T05:22:00Z</dcterms:modified>
</cp:coreProperties>
</file>